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FFFA" w14:textId="77777777" w:rsidR="004B536A" w:rsidRPr="00B53B1E" w:rsidRDefault="003C7120" w:rsidP="003C7120">
      <w:pPr>
        <w:pStyle w:val="Title"/>
        <w:spacing w:before="0" w:after="0"/>
        <w:rPr>
          <w:sz w:val="48"/>
        </w:rPr>
      </w:pPr>
      <w:r>
        <w:rPr>
          <w:sz w:val="48"/>
        </w:rPr>
        <w:t>Chronic Maintenance In-Center Hemodialysis Standing Orders – On Dialysis Protein Supplements (ODPS)</w:t>
      </w:r>
    </w:p>
    <w:p w14:paraId="171FC4AF" w14:textId="77777777" w:rsidR="003C7120" w:rsidRDefault="003C7120" w:rsidP="003C7120">
      <w:pPr>
        <w:pStyle w:val="BodyText1"/>
        <w:spacing w:after="0"/>
        <w:rPr>
          <w:b/>
          <w:u w:val="single"/>
        </w:rPr>
      </w:pPr>
    </w:p>
    <w:p w14:paraId="38C91D28" w14:textId="77777777" w:rsidR="00B53B1E" w:rsidRPr="003C7120" w:rsidRDefault="003C7120" w:rsidP="003C7120">
      <w:pPr>
        <w:pStyle w:val="BodyText1"/>
        <w:spacing w:after="0"/>
        <w:rPr>
          <w:b/>
          <w:sz w:val="22"/>
          <w:u w:val="single"/>
        </w:rPr>
      </w:pPr>
      <w:r w:rsidRPr="003C7120">
        <w:rPr>
          <w:b/>
          <w:sz w:val="22"/>
          <w:u w:val="single"/>
        </w:rPr>
        <w:t>ICD-10 Code:</w:t>
      </w:r>
    </w:p>
    <w:p w14:paraId="16705F20" w14:textId="77777777" w:rsidR="003C7120" w:rsidRPr="003C7120" w:rsidRDefault="001608D0" w:rsidP="001608D0">
      <w:pPr>
        <w:pStyle w:val="BodyText1"/>
        <w:spacing w:after="0"/>
        <w:ind w:left="432" w:firstLine="3"/>
        <w:rPr>
          <w:sz w:val="22"/>
        </w:rPr>
      </w:pPr>
      <w:proofErr w:type="gramStart"/>
      <w:r w:rsidRPr="00186446">
        <w:rPr>
          <w:sz w:val="22"/>
        </w:rPr>
        <w:t xml:space="preserve">E88.09 </w:t>
      </w:r>
      <w:r w:rsidR="003C7120" w:rsidRPr="00186446">
        <w:rPr>
          <w:sz w:val="22"/>
        </w:rPr>
        <w:t xml:space="preserve"> </w:t>
      </w:r>
      <w:r w:rsidRPr="00186446">
        <w:t>Other</w:t>
      </w:r>
      <w:proofErr w:type="gramEnd"/>
      <w:r w:rsidRPr="00186446">
        <w:t xml:space="preserve"> disorders of plasma-protein metabolism, not elsewhere classified</w:t>
      </w:r>
    </w:p>
    <w:p w14:paraId="6FFE0F10" w14:textId="77777777" w:rsidR="003C7120" w:rsidRPr="003C7120" w:rsidRDefault="003C7120" w:rsidP="003C7120">
      <w:pPr>
        <w:pStyle w:val="BodyText1"/>
        <w:spacing w:after="0"/>
        <w:rPr>
          <w:sz w:val="22"/>
        </w:rPr>
      </w:pPr>
      <w:r w:rsidRPr="003C7120">
        <w:rPr>
          <w:sz w:val="22"/>
        </w:rPr>
        <w:tab/>
        <w:t>Primary Supplement: Hydrolyzed Protein 1 fluid ounce</w:t>
      </w:r>
    </w:p>
    <w:p w14:paraId="0094BABF" w14:textId="77777777" w:rsidR="003C7120" w:rsidRPr="003C7120" w:rsidRDefault="003C7120" w:rsidP="003C7120">
      <w:pPr>
        <w:pStyle w:val="BodyText1"/>
        <w:spacing w:after="0"/>
        <w:rPr>
          <w:sz w:val="22"/>
        </w:rPr>
      </w:pPr>
      <w:r w:rsidRPr="003C7120">
        <w:rPr>
          <w:sz w:val="22"/>
        </w:rPr>
        <w:tab/>
        <w:t>Secondary Supp</w:t>
      </w:r>
      <w:bookmarkStart w:id="0" w:name="_GoBack"/>
      <w:bookmarkEnd w:id="0"/>
      <w:r w:rsidRPr="003C7120">
        <w:rPr>
          <w:sz w:val="22"/>
        </w:rPr>
        <w:t>lement: High protein, high calorie (1) 8 fluid ounce can</w:t>
      </w:r>
    </w:p>
    <w:p w14:paraId="64CCF472" w14:textId="77777777" w:rsidR="003C7120" w:rsidRPr="003C7120" w:rsidRDefault="003C7120" w:rsidP="003C7120">
      <w:pPr>
        <w:pStyle w:val="BodyText1"/>
        <w:spacing w:after="0"/>
        <w:rPr>
          <w:sz w:val="22"/>
        </w:rPr>
      </w:pPr>
    </w:p>
    <w:p w14:paraId="25CAA90F" w14:textId="77777777" w:rsidR="003C7120" w:rsidRPr="003C7120" w:rsidRDefault="003C7120" w:rsidP="003C7120">
      <w:pPr>
        <w:pStyle w:val="BodyText1"/>
        <w:spacing w:after="0"/>
        <w:rPr>
          <w:b/>
          <w:sz w:val="22"/>
          <w:u w:val="single"/>
        </w:rPr>
      </w:pPr>
      <w:r w:rsidRPr="003C7120">
        <w:rPr>
          <w:b/>
          <w:sz w:val="22"/>
          <w:u w:val="single"/>
        </w:rPr>
        <w:t>Criteria to Start ODPS:</w:t>
      </w:r>
    </w:p>
    <w:p w14:paraId="6AC47C1D" w14:textId="77777777" w:rsidR="003C7120" w:rsidRPr="003C7120" w:rsidRDefault="003C7120" w:rsidP="003C7120">
      <w:pPr>
        <w:pStyle w:val="BodyText1"/>
        <w:spacing w:after="0"/>
        <w:ind w:left="720" w:hanging="288"/>
        <w:rPr>
          <w:sz w:val="22"/>
        </w:rPr>
      </w:pPr>
      <w:r w:rsidRPr="003C7120">
        <w:rPr>
          <w:sz w:val="22"/>
        </w:rPr>
        <w:t>1. Patient new to dialysis or patient that transfers into NKC from a non-NKC facility.</w:t>
      </w:r>
      <w:r w:rsidRPr="003C7120">
        <w:rPr>
          <w:sz w:val="22"/>
        </w:rPr>
        <w:tab/>
      </w:r>
    </w:p>
    <w:p w14:paraId="0EDA524F" w14:textId="77777777" w:rsidR="003C7120" w:rsidRPr="003C7120" w:rsidRDefault="003C7120" w:rsidP="003C7120">
      <w:pPr>
        <w:pStyle w:val="BodyText1"/>
        <w:spacing w:after="0"/>
        <w:ind w:left="720" w:hanging="288"/>
        <w:rPr>
          <w:sz w:val="22"/>
        </w:rPr>
      </w:pPr>
      <w:r w:rsidRPr="003C7120">
        <w:rPr>
          <w:sz w:val="22"/>
        </w:rPr>
        <w:t>2. Existing patient whose albumin is &lt;4</w:t>
      </w:r>
      <w:r w:rsidRPr="00186446">
        <w:rPr>
          <w:sz w:val="22"/>
        </w:rPr>
        <w:t>.0 g/dl</w:t>
      </w:r>
    </w:p>
    <w:p w14:paraId="68945838" w14:textId="77777777" w:rsidR="003C7120" w:rsidRPr="003C7120" w:rsidRDefault="003C7120" w:rsidP="003C7120">
      <w:pPr>
        <w:pStyle w:val="BodyText1"/>
        <w:spacing w:after="0"/>
        <w:rPr>
          <w:sz w:val="22"/>
        </w:rPr>
      </w:pPr>
    </w:p>
    <w:p w14:paraId="1E094D0A" w14:textId="77777777" w:rsidR="003C7120" w:rsidRPr="003C7120" w:rsidRDefault="003C7120" w:rsidP="003C7120">
      <w:pPr>
        <w:pStyle w:val="BodyText1"/>
        <w:spacing w:after="0"/>
        <w:rPr>
          <w:b/>
          <w:sz w:val="22"/>
          <w:u w:val="single"/>
        </w:rPr>
      </w:pPr>
      <w:r w:rsidRPr="003C7120">
        <w:rPr>
          <w:b/>
          <w:sz w:val="22"/>
          <w:u w:val="single"/>
        </w:rPr>
        <w:t>Dosing:</w:t>
      </w:r>
    </w:p>
    <w:p w14:paraId="65DD334D" w14:textId="77777777" w:rsidR="003C7120" w:rsidRDefault="003C7120" w:rsidP="003C7120">
      <w:pPr>
        <w:pStyle w:val="BodyText1"/>
        <w:spacing w:after="0"/>
        <w:ind w:left="864" w:hanging="432"/>
        <w:rPr>
          <w:sz w:val="22"/>
        </w:rPr>
      </w:pPr>
      <w:r w:rsidRPr="003C7120">
        <w:rPr>
          <w:sz w:val="22"/>
        </w:rPr>
        <w:t xml:space="preserve">1.  If each patient meets criteria to start ODPS give protein supplement </w:t>
      </w:r>
      <w:r>
        <w:rPr>
          <w:sz w:val="22"/>
        </w:rPr>
        <w:t xml:space="preserve">PO </w:t>
      </w:r>
      <w:r w:rsidRPr="003C7120">
        <w:rPr>
          <w:sz w:val="22"/>
        </w:rPr>
        <w:t>each dialysis.</w:t>
      </w:r>
    </w:p>
    <w:p w14:paraId="7205F36D" w14:textId="52779405" w:rsidR="003C7120" w:rsidRDefault="003C7120" w:rsidP="003C7120">
      <w:pPr>
        <w:pStyle w:val="BodyText1"/>
        <w:spacing w:after="0"/>
        <w:ind w:left="864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Continue the supplement until the patient has 3 consecutive months where the albumin is &gt;3.9</w:t>
      </w:r>
      <w:r w:rsidR="003F716B">
        <w:rPr>
          <w:sz w:val="22"/>
        </w:rPr>
        <w:t xml:space="preserve"> g/dl</w:t>
      </w:r>
    </w:p>
    <w:p w14:paraId="6958905C" w14:textId="11757BBA" w:rsidR="003C7120" w:rsidRDefault="003C7120" w:rsidP="003C7120">
      <w:pPr>
        <w:pStyle w:val="BodyText1"/>
        <w:spacing w:after="0"/>
        <w:ind w:left="864" w:hanging="432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Supplement will be put on hold if albumin is &gt;3.9 </w:t>
      </w:r>
      <w:r w:rsidR="003F716B">
        <w:rPr>
          <w:sz w:val="22"/>
        </w:rPr>
        <w:t xml:space="preserve">g/dl </w:t>
      </w:r>
      <w:r>
        <w:rPr>
          <w:sz w:val="22"/>
        </w:rPr>
        <w:t>for rolling three months, and will be resumed when patient’s albumin falls to &lt;4.0</w:t>
      </w:r>
      <w:r w:rsidR="003F716B">
        <w:rPr>
          <w:sz w:val="22"/>
        </w:rPr>
        <w:t xml:space="preserve"> g/dl</w:t>
      </w:r>
    </w:p>
    <w:p w14:paraId="05A70BB1" w14:textId="77777777" w:rsidR="003C7120" w:rsidRDefault="003C7120" w:rsidP="003C7120">
      <w:pPr>
        <w:pStyle w:val="BodyText1"/>
        <w:spacing w:after="0"/>
        <w:rPr>
          <w:sz w:val="22"/>
        </w:rPr>
      </w:pPr>
    </w:p>
    <w:p w14:paraId="747838D9" w14:textId="77777777" w:rsidR="003C7120" w:rsidRDefault="003C7120" w:rsidP="003C7120">
      <w:pPr>
        <w:pStyle w:val="BodyText1"/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Exclusion Criteria:</w:t>
      </w:r>
    </w:p>
    <w:p w14:paraId="4329DBD6" w14:textId="77777777" w:rsidR="003C7120" w:rsidRDefault="003C7120" w:rsidP="003C7120">
      <w:pPr>
        <w:pStyle w:val="BodyText1"/>
        <w:spacing w:after="0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Patients that have swallowing difficulties</w:t>
      </w:r>
    </w:p>
    <w:p w14:paraId="37E37616" w14:textId="77777777" w:rsidR="003C7120" w:rsidRDefault="003C7120" w:rsidP="003C7120">
      <w:pPr>
        <w:pStyle w:val="BodyText1"/>
        <w:spacing w:after="0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patients with severe liver failure</w:t>
      </w:r>
    </w:p>
    <w:p w14:paraId="2C35FF90" w14:textId="77777777" w:rsidR="003C7120" w:rsidRDefault="003C7120" w:rsidP="003C7120">
      <w:pPr>
        <w:pStyle w:val="BodyText1"/>
        <w:spacing w:after="0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Patients with food allergies to ingredients in supplements</w:t>
      </w:r>
    </w:p>
    <w:p w14:paraId="2E99FB6C" w14:textId="77777777" w:rsidR="003C7120" w:rsidRDefault="003C7120" w:rsidP="003C7120">
      <w:pPr>
        <w:pStyle w:val="BodyText1"/>
        <w:spacing w:after="0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Patients with religious dietary exclusions</w:t>
      </w:r>
    </w:p>
    <w:p w14:paraId="644F3C58" w14:textId="77777777" w:rsidR="003C7120" w:rsidRDefault="003C7120" w:rsidP="003C7120">
      <w:pPr>
        <w:pStyle w:val="BodyText1"/>
        <w:spacing w:after="0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>Patients who decline supplement</w:t>
      </w:r>
    </w:p>
    <w:p w14:paraId="4ECADB34" w14:textId="77777777" w:rsidR="003C7120" w:rsidRDefault="003C7120" w:rsidP="003C7120">
      <w:pPr>
        <w:pStyle w:val="BodyText1"/>
        <w:spacing w:after="0"/>
        <w:rPr>
          <w:sz w:val="22"/>
        </w:rPr>
      </w:pPr>
    </w:p>
    <w:p w14:paraId="57482E8F" w14:textId="77777777" w:rsidR="003C7120" w:rsidRPr="005C0374" w:rsidRDefault="005C0374" w:rsidP="003C7120">
      <w:pPr>
        <w:pStyle w:val="BodyText1"/>
        <w:spacing w:after="0"/>
        <w:rPr>
          <w:sz w:val="22"/>
        </w:rPr>
      </w:pPr>
      <w:r>
        <w:rPr>
          <w:sz w:val="22"/>
          <w:u w:val="single"/>
        </w:rPr>
        <w:t xml:space="preserve">Suzanne Watnick, MD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8095C" w:rsidRPr="005C0374">
        <w:rPr>
          <w:sz w:val="22"/>
          <w:u w:val="single"/>
        </w:rPr>
        <w:t>__________</w:t>
      </w:r>
    </w:p>
    <w:p w14:paraId="072F0788" w14:textId="77777777" w:rsidR="0028095C" w:rsidRDefault="0028095C" w:rsidP="003C7120">
      <w:pPr>
        <w:pStyle w:val="BodyText1"/>
        <w:spacing w:after="0"/>
        <w:rPr>
          <w:sz w:val="22"/>
        </w:rPr>
      </w:pPr>
      <w:r>
        <w:rPr>
          <w:sz w:val="22"/>
        </w:rPr>
        <w:t>Physician Name (Please Print)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240AF3E" w14:textId="77777777" w:rsidR="0028095C" w:rsidRDefault="0028095C" w:rsidP="003C7120">
      <w:pPr>
        <w:pStyle w:val="BodyText1"/>
        <w:spacing w:after="0"/>
        <w:rPr>
          <w:sz w:val="22"/>
        </w:rPr>
      </w:pPr>
    </w:p>
    <w:p w14:paraId="768FB842" w14:textId="77777777" w:rsidR="0028095C" w:rsidRDefault="0028095C" w:rsidP="003C7120">
      <w:pPr>
        <w:pStyle w:val="BodyText1"/>
        <w:spacing w:after="0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  <w:t>__________</w:t>
      </w:r>
      <w:r w:rsidR="00704348">
        <w:rPr>
          <w:sz w:val="22"/>
        </w:rPr>
        <w:t>_________</w:t>
      </w:r>
    </w:p>
    <w:p w14:paraId="029CBAE9" w14:textId="77777777" w:rsidR="00B53B1E" w:rsidRDefault="0028095C" w:rsidP="0028095C">
      <w:pPr>
        <w:pStyle w:val="BodyText1"/>
        <w:spacing w:after="0"/>
      </w:pPr>
      <w:r>
        <w:rPr>
          <w:sz w:val="22"/>
        </w:rPr>
        <w:t>Physician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51BB24BB" w14:textId="77777777" w:rsidR="003C7FD3" w:rsidRPr="004B536A" w:rsidRDefault="003C7FD3" w:rsidP="004B536A">
      <w:pPr>
        <w:pStyle w:val="BodyText1"/>
      </w:pPr>
    </w:p>
    <w:sectPr w:rsidR="003C7FD3" w:rsidRPr="004B536A" w:rsidSect="00B53B1E">
      <w:footerReference w:type="default" r:id="rId8"/>
      <w:headerReference w:type="first" r:id="rId9"/>
      <w:footerReference w:type="first" r:id="rId10"/>
      <w:pgSz w:w="12240" w:h="15840"/>
      <w:pgMar w:top="1800" w:right="1440" w:bottom="72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EC10" w14:textId="77777777" w:rsidR="002A67EA" w:rsidRDefault="002A67EA" w:rsidP="007244C0">
      <w:pPr>
        <w:spacing w:after="0" w:line="240" w:lineRule="auto"/>
      </w:pPr>
      <w:r>
        <w:separator/>
      </w:r>
    </w:p>
  </w:endnote>
  <w:endnote w:type="continuationSeparator" w:id="0">
    <w:p w14:paraId="69DE8F27" w14:textId="77777777" w:rsidR="002A67EA" w:rsidRDefault="002A67EA" w:rsidP="0072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385937"/>
      <w:docPartObj>
        <w:docPartGallery w:val="Page Numbers (Bottom of Page)"/>
        <w:docPartUnique/>
      </w:docPartObj>
    </w:sdtPr>
    <w:sdtEndPr/>
    <w:sdtContent>
      <w:sdt>
        <w:sdtPr>
          <w:id w:val="-947843049"/>
          <w:docPartObj>
            <w:docPartGallery w:val="Page Numbers (Top of Page)"/>
            <w:docPartUnique/>
          </w:docPartObj>
        </w:sdtPr>
        <w:sdtEndPr/>
        <w:sdtContent>
          <w:p w14:paraId="44BBEA44" w14:textId="77777777" w:rsidR="00D97151" w:rsidRPr="00D97151" w:rsidRDefault="00E53684" w:rsidP="00137634">
            <w:pPr>
              <w:pStyle w:val="Footer"/>
              <w:tabs>
                <w:tab w:val="clear" w:pos="4680"/>
                <w:tab w:val="center" w:pos="5040"/>
              </w:tabs>
            </w:pPr>
            <w:r>
              <w:tab/>
            </w:r>
            <w:r w:rsidR="00137634" w:rsidRPr="00137634">
              <w:t>XXX-</w:t>
            </w:r>
            <w:proofErr w:type="spellStart"/>
            <w:r w:rsidR="00137634" w:rsidRPr="00137634">
              <w:t>Xnnnn</w:t>
            </w:r>
            <w:proofErr w:type="spellEnd"/>
            <w:r w:rsidR="00D97151">
              <w:tab/>
            </w:r>
            <w:r w:rsidR="00D97151" w:rsidRPr="00D97151">
              <w:t xml:space="preserve">Page </w:t>
            </w:r>
            <w:r w:rsidR="00D97151" w:rsidRPr="00D97151">
              <w:rPr>
                <w:bCs/>
                <w:sz w:val="24"/>
                <w:szCs w:val="24"/>
              </w:rPr>
              <w:fldChar w:fldCharType="begin"/>
            </w:r>
            <w:r w:rsidR="00D97151" w:rsidRPr="00D97151">
              <w:rPr>
                <w:bCs/>
              </w:rPr>
              <w:instrText xml:space="preserve"> PAGE </w:instrText>
            </w:r>
            <w:r w:rsidR="00D97151" w:rsidRPr="00D97151">
              <w:rPr>
                <w:bCs/>
                <w:sz w:val="24"/>
                <w:szCs w:val="24"/>
              </w:rPr>
              <w:fldChar w:fldCharType="separate"/>
            </w:r>
            <w:r w:rsidR="0087599A">
              <w:rPr>
                <w:bCs/>
                <w:noProof/>
              </w:rPr>
              <w:t>2</w:t>
            </w:r>
            <w:r w:rsidR="00D97151" w:rsidRPr="00D97151">
              <w:rPr>
                <w:bCs/>
                <w:sz w:val="24"/>
                <w:szCs w:val="24"/>
              </w:rPr>
              <w:fldChar w:fldCharType="end"/>
            </w:r>
            <w:r w:rsidR="00D97151" w:rsidRPr="00D97151">
              <w:t xml:space="preserve"> of </w:t>
            </w:r>
            <w:r w:rsidR="00D97151" w:rsidRPr="00D97151">
              <w:rPr>
                <w:bCs/>
                <w:sz w:val="24"/>
                <w:szCs w:val="24"/>
              </w:rPr>
              <w:fldChar w:fldCharType="begin"/>
            </w:r>
            <w:r w:rsidR="00D97151" w:rsidRPr="00D97151">
              <w:rPr>
                <w:bCs/>
              </w:rPr>
              <w:instrText xml:space="preserve"> NUMPAGES  </w:instrText>
            </w:r>
            <w:r w:rsidR="00D97151" w:rsidRPr="00D97151">
              <w:rPr>
                <w:bCs/>
                <w:sz w:val="24"/>
                <w:szCs w:val="24"/>
              </w:rPr>
              <w:fldChar w:fldCharType="separate"/>
            </w:r>
            <w:r w:rsidR="0087599A">
              <w:rPr>
                <w:bCs/>
                <w:noProof/>
              </w:rPr>
              <w:t>2</w:t>
            </w:r>
            <w:r w:rsidR="00D97151" w:rsidRPr="00D9715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80786"/>
      <w:docPartObj>
        <w:docPartGallery w:val="Page Numbers (Top of Page)"/>
        <w:docPartUnique/>
      </w:docPartObj>
    </w:sdtPr>
    <w:sdtEndPr/>
    <w:sdtContent>
      <w:p w14:paraId="61614F5D" w14:textId="32F01354" w:rsidR="00B53B1E" w:rsidRDefault="00186446" w:rsidP="00B53B1E">
        <w:pPr>
          <w:pStyle w:val="Footer"/>
          <w:tabs>
            <w:tab w:val="center" w:pos="5040"/>
          </w:tabs>
        </w:pPr>
        <w:r>
          <w:t xml:space="preserve">MEC </w:t>
        </w:r>
        <w:r w:rsidR="001D0BAE">
          <w:t>review</w:t>
        </w:r>
        <w:r>
          <w:t>ed</w:t>
        </w:r>
        <w:r w:rsidR="0028095C">
          <w:t xml:space="preserve"> </w:t>
        </w:r>
        <w:r w:rsidR="001608D0">
          <w:t>12.</w:t>
        </w:r>
        <w:r w:rsidR="001D0BAE">
          <w:t>3.20</w:t>
        </w:r>
        <w:r w:rsidR="0028095C">
          <w:tab/>
        </w:r>
        <w:r w:rsidR="00B53B1E">
          <w:tab/>
        </w:r>
        <w:r w:rsidR="0028095C">
          <w:t xml:space="preserve">                                                             </w:t>
        </w:r>
        <w:r w:rsidR="00B53B1E" w:rsidRPr="00D97151">
          <w:t xml:space="preserve">Page </w:t>
        </w:r>
        <w:r w:rsidR="00B53B1E" w:rsidRPr="00D97151">
          <w:rPr>
            <w:bCs/>
            <w:sz w:val="24"/>
            <w:szCs w:val="24"/>
          </w:rPr>
          <w:fldChar w:fldCharType="begin"/>
        </w:r>
        <w:r w:rsidR="00B53B1E" w:rsidRPr="00D97151">
          <w:rPr>
            <w:bCs/>
          </w:rPr>
          <w:instrText xml:space="preserve"> PAGE </w:instrText>
        </w:r>
        <w:r w:rsidR="00B53B1E" w:rsidRPr="00D97151">
          <w:rPr>
            <w:bCs/>
            <w:sz w:val="24"/>
            <w:szCs w:val="24"/>
          </w:rPr>
          <w:fldChar w:fldCharType="separate"/>
        </w:r>
        <w:r w:rsidR="0087599A">
          <w:rPr>
            <w:bCs/>
            <w:noProof/>
          </w:rPr>
          <w:t>1</w:t>
        </w:r>
        <w:r w:rsidR="00B53B1E" w:rsidRPr="00D97151">
          <w:rPr>
            <w:bCs/>
            <w:sz w:val="24"/>
            <w:szCs w:val="24"/>
          </w:rPr>
          <w:fldChar w:fldCharType="end"/>
        </w:r>
        <w:r w:rsidR="0028095C"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F4CA" w14:textId="77777777" w:rsidR="002A67EA" w:rsidRDefault="002A67EA" w:rsidP="007244C0">
      <w:pPr>
        <w:spacing w:after="0" w:line="240" w:lineRule="auto"/>
      </w:pPr>
      <w:r>
        <w:separator/>
      </w:r>
    </w:p>
  </w:footnote>
  <w:footnote w:type="continuationSeparator" w:id="0">
    <w:p w14:paraId="537E39A4" w14:textId="77777777" w:rsidR="002A67EA" w:rsidRDefault="002A67EA" w:rsidP="0072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D9C3" w14:textId="77777777" w:rsidR="00B53B1E" w:rsidRDefault="00B53B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0D33B" wp14:editId="309444B8">
          <wp:simplePos x="0" y="0"/>
          <wp:positionH relativeFrom="page">
            <wp:posOffset>5615305</wp:posOffset>
          </wp:positionH>
          <wp:positionV relativeFrom="page">
            <wp:posOffset>608330</wp:posOffset>
          </wp:positionV>
          <wp:extent cx="1839595" cy="411480"/>
          <wp:effectExtent l="0" t="0" r="825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C_logo_address.png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7"/>
                  <a:stretch/>
                </pic:blipFill>
                <pic:spPr bwMode="auto">
                  <a:xfrm>
                    <a:off x="0" y="0"/>
                    <a:ext cx="1839595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395"/>
    <w:multiLevelType w:val="hybridMultilevel"/>
    <w:tmpl w:val="7474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1083"/>
    <w:multiLevelType w:val="hybridMultilevel"/>
    <w:tmpl w:val="531E1F8A"/>
    <w:lvl w:ilvl="0" w:tplc="8B38445E">
      <w:start w:val="1"/>
      <w:numFmt w:val="bullet"/>
      <w:pStyle w:val="Bullets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7DFB"/>
    <w:multiLevelType w:val="hybridMultilevel"/>
    <w:tmpl w:val="C81C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700F"/>
    <w:multiLevelType w:val="hybridMultilevel"/>
    <w:tmpl w:val="8CC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01414"/>
    <w:multiLevelType w:val="hybridMultilevel"/>
    <w:tmpl w:val="AD2C224A"/>
    <w:lvl w:ilvl="0" w:tplc="DC868D14">
      <w:start w:val="1"/>
      <w:numFmt w:val="bullet"/>
      <w:pStyle w:val="Tablebullets"/>
      <w:lvlText w:val="•"/>
      <w:lvlJc w:val="left"/>
      <w:pPr>
        <w:ind w:left="40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C3DED"/>
    <w:multiLevelType w:val="hybridMultilevel"/>
    <w:tmpl w:val="D9E2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B"/>
    <w:rsid w:val="00075831"/>
    <w:rsid w:val="000A2F0F"/>
    <w:rsid w:val="000B08D5"/>
    <w:rsid w:val="000B2B7C"/>
    <w:rsid w:val="00123FC7"/>
    <w:rsid w:val="00137634"/>
    <w:rsid w:val="001608D0"/>
    <w:rsid w:val="00164D7E"/>
    <w:rsid w:val="00186446"/>
    <w:rsid w:val="001A7C57"/>
    <w:rsid w:val="001D0BAE"/>
    <w:rsid w:val="001F712F"/>
    <w:rsid w:val="002509BB"/>
    <w:rsid w:val="00251E0C"/>
    <w:rsid w:val="002700F4"/>
    <w:rsid w:val="00270F08"/>
    <w:rsid w:val="0028095C"/>
    <w:rsid w:val="002A67EA"/>
    <w:rsid w:val="002B4A3B"/>
    <w:rsid w:val="002E1EC8"/>
    <w:rsid w:val="002F56B9"/>
    <w:rsid w:val="00305F61"/>
    <w:rsid w:val="003317C6"/>
    <w:rsid w:val="003445E8"/>
    <w:rsid w:val="00395BFA"/>
    <w:rsid w:val="003B6866"/>
    <w:rsid w:val="003C7120"/>
    <w:rsid w:val="003C7FD3"/>
    <w:rsid w:val="003F716B"/>
    <w:rsid w:val="00424B41"/>
    <w:rsid w:val="00424C11"/>
    <w:rsid w:val="00440DFD"/>
    <w:rsid w:val="004B536A"/>
    <w:rsid w:val="004C673B"/>
    <w:rsid w:val="004D6120"/>
    <w:rsid w:val="004E20E4"/>
    <w:rsid w:val="00506C5F"/>
    <w:rsid w:val="005203E5"/>
    <w:rsid w:val="005342B9"/>
    <w:rsid w:val="00566C8E"/>
    <w:rsid w:val="005C0374"/>
    <w:rsid w:val="005D0F33"/>
    <w:rsid w:val="005F03F9"/>
    <w:rsid w:val="00613994"/>
    <w:rsid w:val="006459BF"/>
    <w:rsid w:val="0067575B"/>
    <w:rsid w:val="00697033"/>
    <w:rsid w:val="006D42EF"/>
    <w:rsid w:val="006E7029"/>
    <w:rsid w:val="006F01F6"/>
    <w:rsid w:val="007016FA"/>
    <w:rsid w:val="00704348"/>
    <w:rsid w:val="007244C0"/>
    <w:rsid w:val="007456DB"/>
    <w:rsid w:val="00754DE7"/>
    <w:rsid w:val="00756F56"/>
    <w:rsid w:val="007A4959"/>
    <w:rsid w:val="007B5887"/>
    <w:rsid w:val="00832B5A"/>
    <w:rsid w:val="00844507"/>
    <w:rsid w:val="0087599A"/>
    <w:rsid w:val="008B3E24"/>
    <w:rsid w:val="008B3FA9"/>
    <w:rsid w:val="008D4F32"/>
    <w:rsid w:val="00913688"/>
    <w:rsid w:val="009165FD"/>
    <w:rsid w:val="00917639"/>
    <w:rsid w:val="009379EB"/>
    <w:rsid w:val="0096274C"/>
    <w:rsid w:val="009C0E01"/>
    <w:rsid w:val="009E6D58"/>
    <w:rsid w:val="00A128B9"/>
    <w:rsid w:val="00A46ECA"/>
    <w:rsid w:val="00AA2BBA"/>
    <w:rsid w:val="00AE3D30"/>
    <w:rsid w:val="00B06BD1"/>
    <w:rsid w:val="00B06E58"/>
    <w:rsid w:val="00B53B1E"/>
    <w:rsid w:val="00BD6F93"/>
    <w:rsid w:val="00BE1915"/>
    <w:rsid w:val="00C00A3B"/>
    <w:rsid w:val="00C143B2"/>
    <w:rsid w:val="00C42F20"/>
    <w:rsid w:val="00C53E87"/>
    <w:rsid w:val="00CE1FE5"/>
    <w:rsid w:val="00D06803"/>
    <w:rsid w:val="00D20C76"/>
    <w:rsid w:val="00D215AF"/>
    <w:rsid w:val="00D565F4"/>
    <w:rsid w:val="00D97151"/>
    <w:rsid w:val="00D971BD"/>
    <w:rsid w:val="00DB15CB"/>
    <w:rsid w:val="00DB2979"/>
    <w:rsid w:val="00DC33AE"/>
    <w:rsid w:val="00DF4096"/>
    <w:rsid w:val="00E36A82"/>
    <w:rsid w:val="00E53684"/>
    <w:rsid w:val="00E53B5D"/>
    <w:rsid w:val="00E62408"/>
    <w:rsid w:val="00E83F0B"/>
    <w:rsid w:val="00EA4EC8"/>
    <w:rsid w:val="00EB736D"/>
    <w:rsid w:val="00F105D1"/>
    <w:rsid w:val="00F72824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945F"/>
  <w15:docId w15:val="{1C0AE871-08E4-49EB-83EB-4D646D8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56"/>
    <w:rPr>
      <w:rFonts w:asciiTheme="majorHAnsi" w:hAnsiTheme="majorHAns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5D0F33"/>
    <w:pPr>
      <w:tabs>
        <w:tab w:val="left" w:pos="5040"/>
      </w:tabs>
      <w:spacing w:before="120" w:after="160" w:line="240" w:lineRule="auto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6F56"/>
    <w:rPr>
      <w:color w:val="1E9D8B" w:themeColor="accent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F56"/>
    <w:pPr>
      <w:pBdr>
        <w:bottom w:val="single" w:sz="18" w:space="2" w:color="auto"/>
      </w:pBdr>
      <w:tabs>
        <w:tab w:val="center" w:pos="4680"/>
        <w:tab w:val="right" w:pos="9360"/>
      </w:tabs>
      <w:spacing w:before="240" w:after="240" w:line="300" w:lineRule="auto"/>
    </w:pPr>
    <w:rPr>
      <w:rFonts w:ascii="Verdana" w:hAnsi="Verdana"/>
      <w:sz w:val="50"/>
      <w:szCs w:val="50"/>
    </w:rPr>
  </w:style>
  <w:style w:type="paragraph" w:customStyle="1" w:styleId="BodyText1">
    <w:name w:val="Body Text1"/>
    <w:basedOn w:val="Normal"/>
    <w:rsid w:val="00C42F20"/>
    <w:rPr>
      <w:rFonts w:ascii="Verdana" w:hAnsi="Verdana"/>
    </w:rPr>
  </w:style>
  <w:style w:type="paragraph" w:customStyle="1" w:styleId="Bullets">
    <w:name w:val="Bullets"/>
    <w:next w:val="BodyText1"/>
    <w:qFormat/>
    <w:rsid w:val="00C42F20"/>
    <w:pPr>
      <w:numPr>
        <w:numId w:val="1"/>
      </w:numPr>
      <w:spacing w:after="80" w:line="240" w:lineRule="auto"/>
    </w:pPr>
  </w:style>
  <w:style w:type="paragraph" w:customStyle="1" w:styleId="Tablebullets">
    <w:name w:val="Table bullets"/>
    <w:basedOn w:val="Bullets"/>
    <w:next w:val="BodyText1"/>
    <w:qFormat/>
    <w:rsid w:val="000A2F0F"/>
    <w:pPr>
      <w:numPr>
        <w:numId w:val="2"/>
      </w:numPr>
      <w:spacing w:after="0" w:line="180" w:lineRule="exact"/>
    </w:pPr>
  </w:style>
  <w:style w:type="paragraph" w:customStyle="1" w:styleId="Bodytextteal">
    <w:name w:val="Body text teal"/>
    <w:basedOn w:val="BodyText1"/>
    <w:next w:val="BodyText1"/>
    <w:qFormat/>
    <w:rsid w:val="00C42F20"/>
    <w:rPr>
      <w:color w:val="1E9D8B" w:themeColor="accent1"/>
    </w:rPr>
  </w:style>
  <w:style w:type="paragraph" w:customStyle="1" w:styleId="Bullets2">
    <w:name w:val="Bullets 2"/>
    <w:basedOn w:val="Bullets"/>
    <w:next w:val="BodyText1"/>
    <w:qFormat/>
    <w:rsid w:val="009E6D58"/>
    <w:pPr>
      <w:ind w:left="702"/>
    </w:pPr>
  </w:style>
  <w:style w:type="paragraph" w:styleId="Header">
    <w:name w:val="header"/>
    <w:basedOn w:val="BodyText1"/>
    <w:link w:val="HeaderChar"/>
    <w:unhideWhenUsed/>
    <w:rsid w:val="005D0F33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D0F33"/>
    <w:rPr>
      <w:rFonts w:ascii="Verdana" w:hAnsi="Verdana"/>
      <w:color w:val="000000" w:themeColor="text1"/>
      <w:sz w:val="20"/>
    </w:rPr>
  </w:style>
  <w:style w:type="paragraph" w:styleId="Footer">
    <w:name w:val="footer"/>
    <w:basedOn w:val="BodyText1"/>
    <w:link w:val="FooterChar"/>
    <w:uiPriority w:val="99"/>
    <w:unhideWhenUsed/>
    <w:rsid w:val="00D97151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97151"/>
    <w:rPr>
      <w:rFonts w:ascii="Verdana" w:hAnsi="Verdana"/>
      <w:color w:val="000000" w:themeColor="text1"/>
      <w:sz w:val="16"/>
    </w:rPr>
  </w:style>
  <w:style w:type="paragraph" w:customStyle="1" w:styleId="NKCPath">
    <w:name w:val="NKC Path"/>
    <w:basedOn w:val="BodyText1"/>
    <w:qFormat/>
    <w:rsid w:val="00D97151"/>
    <w:rPr>
      <w:sz w:val="20"/>
    </w:rPr>
  </w:style>
  <w:style w:type="paragraph" w:styleId="BodyTextIndent3">
    <w:name w:val="Body Text Indent 3"/>
    <w:basedOn w:val="Normal"/>
    <w:link w:val="BodyTextIndent3Char"/>
    <w:semiHidden/>
    <w:rsid w:val="004B536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536A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qFormat/>
    <w:rsid w:val="00756F56"/>
    <w:pPr>
      <w:tabs>
        <w:tab w:val="left" w:pos="5040"/>
      </w:tabs>
      <w:spacing w:before="60" w:after="60" w:line="240" w:lineRule="auto"/>
    </w:pPr>
    <w:rPr>
      <w:rFonts w:asciiTheme="minorHAnsi" w:hAnsiTheme="minorHAnsi"/>
      <w:color w:val="FFFFFF" w:themeColor="background1"/>
      <w:sz w:val="26"/>
      <w:szCs w:val="26"/>
    </w:rPr>
  </w:style>
  <w:style w:type="paragraph" w:customStyle="1" w:styleId="Tabletext">
    <w:name w:val="Table text"/>
    <w:basedOn w:val="Normal"/>
    <w:qFormat/>
    <w:rsid w:val="003C7FD3"/>
    <w:pPr>
      <w:tabs>
        <w:tab w:val="left" w:pos="510"/>
        <w:tab w:val="left" w:pos="870"/>
      </w:tabs>
      <w:suppressAutoHyphens/>
      <w:spacing w:before="60" w:after="60" w:line="240" w:lineRule="auto"/>
    </w:pPr>
    <w:rPr>
      <w:rFonts w:asciiTheme="minorHAnsi" w:hAnsiTheme="minorHAnsi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0F33"/>
    <w:rPr>
      <w:rFonts w:asciiTheme="majorHAnsi" w:hAnsiTheme="majorHAnsi"/>
      <w:color w:val="000000" w:themeColor="text1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56F56"/>
    <w:rPr>
      <w:rFonts w:ascii="Verdana" w:hAnsi="Verdana"/>
      <w:color w:val="000000" w:themeColor="text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Theme="majorHAnsi" w:hAnsiTheme="majorHAnsi"/>
      <w:color w:val="1E9D8B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y%20Manager%20Templates\Policy_Template%2010.dotx" TargetMode="External"/></Relationships>
</file>

<file path=word/theme/theme1.xml><?xml version="1.0" encoding="utf-8"?>
<a:theme xmlns:a="http://schemas.openxmlformats.org/drawingml/2006/main" name="Office Theme">
  <a:themeElements>
    <a:clrScheme name="Northwest Kidney Cent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E9D8B"/>
      </a:accent1>
      <a:accent2>
        <a:srgbClr val="4A3C31"/>
      </a:accent2>
      <a:accent3>
        <a:srgbClr val="675C53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EB11-A878-41D7-A52E-93F9D240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Policy_Template 10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D2 Designs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Arlene Chen</dc:creator>
  <cp:lastModifiedBy>Arlene Chen</cp:lastModifiedBy>
  <cp:revision>7</cp:revision>
  <cp:lastPrinted>2020-12-04T23:33:00Z</cp:lastPrinted>
  <dcterms:created xsi:type="dcterms:W3CDTF">2020-12-04T23:31:00Z</dcterms:created>
  <dcterms:modified xsi:type="dcterms:W3CDTF">2020-12-04T23:34:00Z</dcterms:modified>
</cp:coreProperties>
</file>