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5C17A" w14:textId="77777777" w:rsidR="008E7135" w:rsidRDefault="008E7135">
      <w:pPr>
        <w:pStyle w:val="BodyText"/>
        <w:ind w:left="0" w:firstLine="0"/>
        <w:rPr>
          <w:rFonts w:ascii="Times New Roman"/>
          <w:sz w:val="20"/>
        </w:rPr>
      </w:pPr>
    </w:p>
    <w:p w14:paraId="57CC2648" w14:textId="77777777" w:rsidR="008E7135" w:rsidRDefault="0018359C">
      <w:pPr>
        <w:pStyle w:val="Title"/>
        <w:spacing w:line="302" w:lineRule="auto"/>
      </w:pPr>
      <w:r>
        <w:rPr>
          <w:noProof/>
        </w:rPr>
        <mc:AlternateContent>
          <mc:Choice Requires="wps">
            <w:drawing>
              <wp:anchor distT="0" distB="0" distL="0" distR="0" simplePos="0" relativeHeight="487587840" behindDoc="1" locked="0" layoutInCell="1" allowOverlap="1" wp14:anchorId="54B1C14B" wp14:editId="42514505">
                <wp:simplePos x="0" y="0"/>
                <wp:positionH relativeFrom="page">
                  <wp:posOffset>895985</wp:posOffset>
                </wp:positionH>
                <wp:positionV relativeFrom="paragraph">
                  <wp:posOffset>1102360</wp:posOffset>
                </wp:positionV>
                <wp:extent cx="5980430" cy="27305"/>
                <wp:effectExtent l="0" t="0" r="0" b="0"/>
                <wp:wrapTopAndBottom/>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D36FC" id="Rectangle 5" o:spid="_x0000_s1026" style="position:absolute;margin-left:70.55pt;margin-top:86.8pt;width:470.9pt;height:2.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" fillcolor="black" stroked="f">
                <w10:wrap type="topAndBottom" anchorx="page"/>
              </v:rect>
            </w:pict>
          </mc:Fallback>
        </mc:AlternateContent>
      </w:r>
      <w:r w:rsidR="000E03DC">
        <w:t>Standing Orders for the Treatment of Peritoneal Access Exit Site Infection</w:t>
      </w:r>
    </w:p>
    <w:p w14:paraId="4DE58481" w14:textId="77777777" w:rsidR="008E7135" w:rsidRDefault="000E03DC">
      <w:pPr>
        <w:pStyle w:val="Heading1"/>
        <w:numPr>
          <w:ilvl w:val="0"/>
          <w:numId w:val="1"/>
        </w:numPr>
        <w:tabs>
          <w:tab w:val="left" w:pos="580"/>
        </w:tabs>
        <w:spacing w:before="89"/>
        <w:rPr>
          <w:u w:val="none"/>
        </w:rPr>
      </w:pPr>
      <w:r>
        <w:rPr>
          <w:u w:val="thick"/>
        </w:rPr>
        <w:t>DEFINITION</w:t>
      </w:r>
    </w:p>
    <w:p w14:paraId="791920D3" w14:textId="77777777" w:rsidR="008E7135" w:rsidRDefault="000E03DC">
      <w:pPr>
        <w:pStyle w:val="ListParagraph"/>
        <w:numPr>
          <w:ilvl w:val="1"/>
          <w:numId w:val="1"/>
        </w:numPr>
        <w:tabs>
          <w:tab w:val="left" w:pos="1300"/>
        </w:tabs>
        <w:spacing w:before="2"/>
        <w:ind w:right="269"/>
        <w:rPr>
          <w:sz w:val="24"/>
        </w:rPr>
      </w:pPr>
      <w:r>
        <w:rPr>
          <w:sz w:val="24"/>
        </w:rPr>
        <w:t>Purulent drainage from peritoneal exit site indicates the presence of infection. Erythema may or may not represent infection. Clinical judgment is</w:t>
      </w:r>
      <w:r>
        <w:rPr>
          <w:spacing w:val="-4"/>
          <w:sz w:val="24"/>
        </w:rPr>
        <w:t xml:space="preserve"> </w:t>
      </w:r>
      <w:r>
        <w:rPr>
          <w:sz w:val="24"/>
        </w:rPr>
        <w:t>required.</w:t>
      </w:r>
    </w:p>
    <w:p w14:paraId="540D484B" w14:textId="336FBCAB" w:rsidR="008E7135" w:rsidRDefault="000E03DC">
      <w:pPr>
        <w:pStyle w:val="ListParagraph"/>
        <w:numPr>
          <w:ilvl w:val="1"/>
          <w:numId w:val="1"/>
        </w:numPr>
        <w:tabs>
          <w:tab w:val="left" w:pos="1300"/>
        </w:tabs>
        <w:ind w:right="367"/>
        <w:rPr>
          <w:sz w:val="24"/>
        </w:rPr>
      </w:pPr>
      <w:r>
        <w:rPr>
          <w:sz w:val="24"/>
        </w:rPr>
        <w:t xml:space="preserve">A tunnel infection may present as erythema, edema, or tenderness over the subcutaneous tract. All patients should be assessed for possible tunnel infection and peritonitis. If cuff is involved (pus squeezed out by compressing the cuff), it is considered </w:t>
      </w:r>
      <w:r w:rsidR="00DC5901">
        <w:rPr>
          <w:sz w:val="24"/>
        </w:rPr>
        <w:t xml:space="preserve">a </w:t>
      </w:r>
      <w:r>
        <w:rPr>
          <w:sz w:val="24"/>
        </w:rPr>
        <w:t>tunnel infection.</w:t>
      </w:r>
    </w:p>
    <w:p w14:paraId="1C9B5903" w14:textId="77777777" w:rsidR="008E7135" w:rsidRDefault="000E03DC">
      <w:pPr>
        <w:pStyle w:val="ListParagraph"/>
        <w:numPr>
          <w:ilvl w:val="1"/>
          <w:numId w:val="1"/>
        </w:numPr>
        <w:tabs>
          <w:tab w:val="left" w:pos="1300"/>
        </w:tabs>
        <w:spacing w:before="119"/>
        <w:ind w:left="1299" w:right="246"/>
        <w:rPr>
          <w:sz w:val="24"/>
        </w:rPr>
      </w:pPr>
      <w:r>
        <w:rPr>
          <w:sz w:val="24"/>
        </w:rPr>
        <w:t>If tunnel infection is suspected, obtain a Cell Count and Gram</w:t>
      </w:r>
      <w:r>
        <w:rPr>
          <w:spacing w:val="-29"/>
          <w:sz w:val="24"/>
        </w:rPr>
        <w:t xml:space="preserve"> </w:t>
      </w:r>
      <w:r>
        <w:rPr>
          <w:sz w:val="24"/>
        </w:rPr>
        <w:t>Stain. (ICD10=K65.9)</w:t>
      </w:r>
    </w:p>
    <w:p w14:paraId="0EB293EC" w14:textId="77777777" w:rsidR="008E7135" w:rsidRDefault="000E03DC">
      <w:pPr>
        <w:pStyle w:val="Heading1"/>
        <w:numPr>
          <w:ilvl w:val="0"/>
          <w:numId w:val="1"/>
        </w:numPr>
        <w:tabs>
          <w:tab w:val="left" w:pos="580"/>
        </w:tabs>
        <w:spacing w:line="291" w:lineRule="exact"/>
        <w:rPr>
          <w:u w:val="none"/>
        </w:rPr>
      </w:pPr>
      <w:r>
        <w:rPr>
          <w:u w:val="thick"/>
        </w:rPr>
        <w:t>PATIENT</w:t>
      </w:r>
      <w:r>
        <w:rPr>
          <w:spacing w:val="-2"/>
          <w:u w:val="thick"/>
        </w:rPr>
        <w:t xml:space="preserve"> </w:t>
      </w:r>
      <w:r>
        <w:rPr>
          <w:u w:val="thick"/>
        </w:rPr>
        <w:t>INSTRUCTION</w:t>
      </w:r>
    </w:p>
    <w:p w14:paraId="73E17150" w14:textId="77777777" w:rsidR="008E7135" w:rsidRDefault="000E03DC">
      <w:pPr>
        <w:pStyle w:val="ListParagraph"/>
        <w:numPr>
          <w:ilvl w:val="1"/>
          <w:numId w:val="1"/>
        </w:numPr>
        <w:tabs>
          <w:tab w:val="left" w:pos="1300"/>
        </w:tabs>
        <w:ind w:right="227"/>
        <w:rPr>
          <w:sz w:val="24"/>
        </w:rPr>
      </w:pPr>
      <w:r>
        <w:rPr>
          <w:sz w:val="24"/>
        </w:rPr>
        <w:t>Notify NKC peritoneal staff of any purulent drainage, erythema or pain at the exit site, or any tenderness over the subcutaneous</w:t>
      </w:r>
      <w:r>
        <w:rPr>
          <w:spacing w:val="-24"/>
          <w:sz w:val="24"/>
        </w:rPr>
        <w:t xml:space="preserve"> </w:t>
      </w:r>
      <w:r>
        <w:rPr>
          <w:sz w:val="24"/>
        </w:rPr>
        <w:t>tract.</w:t>
      </w:r>
    </w:p>
    <w:p w14:paraId="2AC50D30" w14:textId="77777777" w:rsidR="008E7135" w:rsidRDefault="000E03DC">
      <w:pPr>
        <w:pStyle w:val="ListParagraph"/>
        <w:numPr>
          <w:ilvl w:val="1"/>
          <w:numId w:val="1"/>
        </w:numPr>
        <w:tabs>
          <w:tab w:val="left" w:pos="1300"/>
        </w:tabs>
        <w:spacing w:before="1"/>
        <w:ind w:left="1299" w:right="728"/>
        <w:rPr>
          <w:sz w:val="24"/>
        </w:rPr>
      </w:pPr>
      <w:r>
        <w:rPr>
          <w:sz w:val="24"/>
        </w:rPr>
        <w:t>Perform exit site care twice daily while drainage is present. Use Gentamicin cream 0.1% topically with each exit site care or Mupirocin cream 2% if Gentamicin</w:t>
      </w:r>
      <w:r>
        <w:rPr>
          <w:spacing w:val="-9"/>
          <w:sz w:val="24"/>
        </w:rPr>
        <w:t xml:space="preserve"> </w:t>
      </w:r>
      <w:r>
        <w:rPr>
          <w:sz w:val="24"/>
        </w:rPr>
        <w:t>allergic.</w:t>
      </w:r>
    </w:p>
    <w:p w14:paraId="6497BF7B" w14:textId="77777777" w:rsidR="008E7135" w:rsidRDefault="000E03DC">
      <w:pPr>
        <w:pStyle w:val="ListParagraph"/>
        <w:numPr>
          <w:ilvl w:val="1"/>
          <w:numId w:val="1"/>
        </w:numPr>
        <w:tabs>
          <w:tab w:val="left" w:pos="1300"/>
        </w:tabs>
        <w:ind w:right="1302"/>
        <w:rPr>
          <w:sz w:val="24"/>
        </w:rPr>
      </w:pPr>
      <w:r>
        <w:rPr>
          <w:sz w:val="24"/>
        </w:rPr>
        <w:t>The use of Betadine (povidone iodine) at the exit site is not recommended.</w:t>
      </w:r>
    </w:p>
    <w:p w14:paraId="2C99B1BE" w14:textId="77777777" w:rsidR="008E7135" w:rsidRDefault="000E03DC">
      <w:pPr>
        <w:pStyle w:val="Heading1"/>
        <w:numPr>
          <w:ilvl w:val="0"/>
          <w:numId w:val="1"/>
        </w:numPr>
        <w:tabs>
          <w:tab w:val="left" w:pos="580"/>
        </w:tabs>
        <w:spacing w:before="119"/>
        <w:rPr>
          <w:u w:val="none"/>
        </w:rPr>
      </w:pPr>
      <w:r>
        <w:rPr>
          <w:u w:val="thick"/>
        </w:rPr>
        <w:t>LAB</w:t>
      </w:r>
      <w:r>
        <w:rPr>
          <w:spacing w:val="-2"/>
          <w:u w:val="thick"/>
        </w:rPr>
        <w:t xml:space="preserve"> </w:t>
      </w:r>
      <w:r>
        <w:rPr>
          <w:u w:val="thick"/>
        </w:rPr>
        <w:t>REQUISITION</w:t>
      </w:r>
    </w:p>
    <w:p w14:paraId="1F449A9F" w14:textId="77777777" w:rsidR="008E7135" w:rsidRDefault="000E03DC">
      <w:pPr>
        <w:pStyle w:val="ListParagraph"/>
        <w:numPr>
          <w:ilvl w:val="1"/>
          <w:numId w:val="1"/>
        </w:numPr>
        <w:tabs>
          <w:tab w:val="left" w:pos="1300"/>
        </w:tabs>
        <w:spacing w:before="1"/>
        <w:ind w:right="1173"/>
        <w:rPr>
          <w:sz w:val="24"/>
        </w:rPr>
      </w:pPr>
      <w:r>
        <w:rPr>
          <w:sz w:val="24"/>
        </w:rPr>
        <w:t>Gram stain, culture and sensitivity of any purulent drainage. (ICD10=</w:t>
      </w:r>
      <w:r>
        <w:rPr>
          <w:spacing w:val="-1"/>
          <w:sz w:val="24"/>
        </w:rPr>
        <w:t xml:space="preserve"> </w:t>
      </w:r>
      <w:r>
        <w:rPr>
          <w:sz w:val="24"/>
        </w:rPr>
        <w:t>T85.71XA)</w:t>
      </w:r>
    </w:p>
    <w:p w14:paraId="25EC7C03" w14:textId="77777777" w:rsidR="008E7135" w:rsidRDefault="000E03DC">
      <w:pPr>
        <w:pStyle w:val="ListParagraph"/>
        <w:numPr>
          <w:ilvl w:val="1"/>
          <w:numId w:val="1"/>
        </w:numPr>
        <w:tabs>
          <w:tab w:val="left" w:pos="1300"/>
        </w:tabs>
        <w:ind w:left="1299" w:right="467"/>
        <w:rPr>
          <w:sz w:val="24"/>
        </w:rPr>
      </w:pPr>
      <w:r>
        <w:rPr>
          <w:sz w:val="24"/>
        </w:rPr>
        <w:t>Culture of erythematous exit site in the absence of drainage is</w:t>
      </w:r>
      <w:r>
        <w:rPr>
          <w:spacing w:val="-25"/>
          <w:sz w:val="24"/>
        </w:rPr>
        <w:t xml:space="preserve"> </w:t>
      </w:r>
      <w:r>
        <w:rPr>
          <w:sz w:val="24"/>
        </w:rPr>
        <w:t>not recommended.</w:t>
      </w:r>
    </w:p>
    <w:p w14:paraId="7C5E460B" w14:textId="77777777" w:rsidR="008E7135" w:rsidRDefault="000E03DC">
      <w:pPr>
        <w:pStyle w:val="ListParagraph"/>
        <w:numPr>
          <w:ilvl w:val="0"/>
          <w:numId w:val="1"/>
        </w:numPr>
        <w:tabs>
          <w:tab w:val="left" w:pos="580"/>
        </w:tabs>
        <w:spacing w:before="120" w:line="291" w:lineRule="exact"/>
        <w:rPr>
          <w:sz w:val="24"/>
        </w:rPr>
      </w:pPr>
      <w:r>
        <w:rPr>
          <w:b/>
          <w:sz w:val="24"/>
          <w:u w:val="thick"/>
        </w:rPr>
        <w:t>EMPIRIC ANTIBIOTIC TREATMENT</w:t>
      </w:r>
      <w:r w:rsidR="006074ED">
        <w:rPr>
          <w:b/>
          <w:sz w:val="24"/>
          <w:u w:val="thick"/>
        </w:rPr>
        <w:t>-</w:t>
      </w:r>
      <w:r>
        <w:rPr>
          <w:b/>
          <w:sz w:val="24"/>
        </w:rPr>
        <w:t xml:space="preserve"> </w:t>
      </w:r>
      <w:r>
        <w:rPr>
          <w:sz w:val="24"/>
        </w:rPr>
        <w:t>(pending culture</w:t>
      </w:r>
      <w:r>
        <w:rPr>
          <w:spacing w:val="-6"/>
          <w:sz w:val="24"/>
        </w:rPr>
        <w:t xml:space="preserve"> </w:t>
      </w:r>
      <w:r>
        <w:rPr>
          <w:sz w:val="24"/>
        </w:rPr>
        <w:t>result)</w:t>
      </w:r>
    </w:p>
    <w:p w14:paraId="47B214B9" w14:textId="77777777" w:rsidR="008E7135" w:rsidRDefault="000E03DC">
      <w:pPr>
        <w:pStyle w:val="ListParagraph"/>
        <w:numPr>
          <w:ilvl w:val="1"/>
          <w:numId w:val="1"/>
        </w:numPr>
        <w:tabs>
          <w:tab w:val="left" w:pos="1300"/>
        </w:tabs>
        <w:spacing w:line="291" w:lineRule="exact"/>
        <w:rPr>
          <w:sz w:val="24"/>
        </w:rPr>
      </w:pPr>
      <w:r>
        <w:rPr>
          <w:sz w:val="24"/>
        </w:rPr>
        <w:t>Notify MD and obtain prescription</w:t>
      </w:r>
      <w:r>
        <w:rPr>
          <w:spacing w:val="-6"/>
          <w:sz w:val="24"/>
        </w:rPr>
        <w:t xml:space="preserve"> </w:t>
      </w:r>
      <w:r>
        <w:rPr>
          <w:sz w:val="24"/>
        </w:rPr>
        <w:t>for:</w:t>
      </w:r>
    </w:p>
    <w:p w14:paraId="15D1D972" w14:textId="058AB2BC" w:rsidR="008E7135" w:rsidRDefault="000E03DC">
      <w:pPr>
        <w:pStyle w:val="ListParagraph"/>
        <w:numPr>
          <w:ilvl w:val="2"/>
          <w:numId w:val="1"/>
        </w:numPr>
        <w:tabs>
          <w:tab w:val="left" w:pos="2020"/>
        </w:tabs>
        <w:spacing w:before="1" w:line="291" w:lineRule="exact"/>
        <w:jc w:val="left"/>
        <w:rPr>
          <w:sz w:val="24"/>
        </w:rPr>
      </w:pPr>
      <w:r>
        <w:rPr>
          <w:sz w:val="24"/>
        </w:rPr>
        <w:t xml:space="preserve">Cephalexin 500 mg, PO twice daily for </w:t>
      </w:r>
      <w:r w:rsidR="00DC5901">
        <w:rPr>
          <w:sz w:val="24"/>
        </w:rPr>
        <w:t xml:space="preserve">two </w:t>
      </w:r>
      <w:r>
        <w:rPr>
          <w:sz w:val="24"/>
        </w:rPr>
        <w:t>weeks (28 tablets)</w:t>
      </w:r>
      <w:r>
        <w:rPr>
          <w:spacing w:val="-11"/>
          <w:sz w:val="24"/>
        </w:rPr>
        <w:t xml:space="preserve"> </w:t>
      </w:r>
      <w:r>
        <w:rPr>
          <w:sz w:val="24"/>
        </w:rPr>
        <w:t>or</w:t>
      </w:r>
    </w:p>
    <w:p w14:paraId="2E8FB4E5" w14:textId="77777777" w:rsidR="008E7135" w:rsidRDefault="000E03DC">
      <w:pPr>
        <w:pStyle w:val="ListParagraph"/>
        <w:numPr>
          <w:ilvl w:val="2"/>
          <w:numId w:val="1"/>
        </w:numPr>
        <w:tabs>
          <w:tab w:val="left" w:pos="2020"/>
        </w:tabs>
        <w:ind w:right="385" w:hanging="399"/>
        <w:jc w:val="left"/>
        <w:rPr>
          <w:sz w:val="24"/>
        </w:rPr>
      </w:pPr>
      <w:r>
        <w:rPr>
          <w:sz w:val="24"/>
        </w:rPr>
        <w:t>Trimethoprim/sulfamethoxazole 80/400 mg (SS) PO daily for two weeks (14</w:t>
      </w:r>
      <w:r>
        <w:rPr>
          <w:spacing w:val="-2"/>
          <w:sz w:val="24"/>
        </w:rPr>
        <w:t xml:space="preserve"> </w:t>
      </w:r>
      <w:r>
        <w:rPr>
          <w:sz w:val="24"/>
        </w:rPr>
        <w:t>tablets).</w:t>
      </w:r>
    </w:p>
    <w:p w14:paraId="5A1B7DCC" w14:textId="77777777" w:rsidR="008E7135" w:rsidRDefault="000E03DC">
      <w:pPr>
        <w:pStyle w:val="ListParagraph"/>
        <w:numPr>
          <w:ilvl w:val="2"/>
          <w:numId w:val="1"/>
        </w:numPr>
        <w:tabs>
          <w:tab w:val="left" w:pos="2020"/>
        </w:tabs>
        <w:spacing w:before="1"/>
        <w:ind w:right="404" w:hanging="466"/>
        <w:jc w:val="left"/>
        <w:rPr>
          <w:sz w:val="24"/>
        </w:rPr>
      </w:pPr>
      <w:r>
        <w:rPr>
          <w:sz w:val="24"/>
        </w:rPr>
        <w:t>Note: the prescription must come from the MD’s office. The PD nurse cannot call in prescription for the</w:t>
      </w:r>
      <w:r>
        <w:rPr>
          <w:spacing w:val="-9"/>
          <w:sz w:val="24"/>
        </w:rPr>
        <w:t xml:space="preserve"> </w:t>
      </w:r>
      <w:r>
        <w:rPr>
          <w:sz w:val="24"/>
        </w:rPr>
        <w:t>MD.</w:t>
      </w:r>
    </w:p>
    <w:p w14:paraId="6BB5D552" w14:textId="77777777" w:rsidR="008E7135" w:rsidRDefault="000E03DC">
      <w:pPr>
        <w:pStyle w:val="ListParagraph"/>
        <w:numPr>
          <w:ilvl w:val="1"/>
          <w:numId w:val="1"/>
        </w:numPr>
        <w:tabs>
          <w:tab w:val="left" w:pos="1300"/>
        </w:tabs>
        <w:spacing w:line="291" w:lineRule="exact"/>
        <w:rPr>
          <w:sz w:val="24"/>
        </w:rPr>
      </w:pPr>
      <w:r>
        <w:rPr>
          <w:sz w:val="24"/>
        </w:rPr>
        <w:t>Modify therapy based on culture</w:t>
      </w:r>
      <w:r>
        <w:rPr>
          <w:spacing w:val="-6"/>
          <w:sz w:val="24"/>
        </w:rPr>
        <w:t xml:space="preserve"> </w:t>
      </w:r>
      <w:r>
        <w:rPr>
          <w:sz w:val="24"/>
        </w:rPr>
        <w:t>results.</w:t>
      </w:r>
    </w:p>
    <w:p w14:paraId="39C59F4E" w14:textId="7A88E453" w:rsidR="008E7135" w:rsidRDefault="000E03DC">
      <w:pPr>
        <w:pStyle w:val="ListParagraph"/>
        <w:numPr>
          <w:ilvl w:val="1"/>
          <w:numId w:val="1"/>
        </w:numPr>
        <w:tabs>
          <w:tab w:val="left" w:pos="1300"/>
        </w:tabs>
        <w:ind w:right="300"/>
        <w:rPr>
          <w:sz w:val="24"/>
        </w:rPr>
      </w:pPr>
      <w:r>
        <w:rPr>
          <w:sz w:val="24"/>
        </w:rPr>
        <w:t>Treat a minimum of two weeks or longer until exit site infection</w:t>
      </w:r>
      <w:r>
        <w:rPr>
          <w:spacing w:val="-24"/>
          <w:sz w:val="24"/>
        </w:rPr>
        <w:t xml:space="preserve"> </w:t>
      </w:r>
      <w:r>
        <w:rPr>
          <w:sz w:val="24"/>
        </w:rPr>
        <w:t xml:space="preserve">has resolved. (Three weeks is </w:t>
      </w:r>
      <w:r w:rsidR="006074ED">
        <w:rPr>
          <w:sz w:val="24"/>
        </w:rPr>
        <w:t xml:space="preserve">recommended </w:t>
      </w:r>
      <w:r>
        <w:rPr>
          <w:sz w:val="24"/>
        </w:rPr>
        <w:t>for infections caused</w:t>
      </w:r>
      <w:r>
        <w:rPr>
          <w:spacing w:val="-24"/>
          <w:sz w:val="24"/>
        </w:rPr>
        <w:t xml:space="preserve"> </w:t>
      </w:r>
      <w:r>
        <w:rPr>
          <w:sz w:val="24"/>
        </w:rPr>
        <w:t>by</w:t>
      </w:r>
    </w:p>
    <w:p w14:paraId="6D7D3831" w14:textId="701D7F1A" w:rsidR="008E7135" w:rsidRDefault="000E03DC">
      <w:pPr>
        <w:pStyle w:val="BodyText"/>
        <w:ind w:firstLine="0"/>
      </w:pPr>
      <w:r>
        <w:t>P. aeruginosa.)</w:t>
      </w:r>
    </w:p>
    <w:p w14:paraId="77E1AD3A" w14:textId="77777777" w:rsidR="008E7135" w:rsidRDefault="000E03DC">
      <w:pPr>
        <w:pStyle w:val="ListParagraph"/>
        <w:numPr>
          <w:ilvl w:val="0"/>
          <w:numId w:val="1"/>
        </w:numPr>
        <w:tabs>
          <w:tab w:val="left" w:pos="580"/>
        </w:tabs>
        <w:spacing w:before="121"/>
        <w:rPr>
          <w:sz w:val="24"/>
        </w:rPr>
      </w:pPr>
      <w:r>
        <w:rPr>
          <w:b/>
          <w:sz w:val="24"/>
          <w:u w:val="thick"/>
        </w:rPr>
        <w:lastRenderedPageBreak/>
        <w:t>SPECIFIC TREATMENT</w:t>
      </w:r>
      <w:r>
        <w:rPr>
          <w:b/>
          <w:sz w:val="24"/>
        </w:rPr>
        <w:t xml:space="preserve"> </w:t>
      </w:r>
      <w:r>
        <w:rPr>
          <w:sz w:val="24"/>
        </w:rPr>
        <w:t>(when culture results</w:t>
      </w:r>
      <w:r>
        <w:rPr>
          <w:spacing w:val="-6"/>
          <w:sz w:val="24"/>
        </w:rPr>
        <w:t xml:space="preserve"> </w:t>
      </w:r>
      <w:r>
        <w:rPr>
          <w:sz w:val="24"/>
        </w:rPr>
        <w:t>known)</w:t>
      </w:r>
    </w:p>
    <w:p w14:paraId="7E718FC4" w14:textId="77777777" w:rsidR="008E7135" w:rsidRDefault="000E03DC">
      <w:pPr>
        <w:pStyle w:val="Heading1"/>
        <w:numPr>
          <w:ilvl w:val="1"/>
          <w:numId w:val="1"/>
        </w:numPr>
        <w:tabs>
          <w:tab w:val="left" w:pos="1300"/>
        </w:tabs>
        <w:spacing w:before="100"/>
        <w:rPr>
          <w:u w:val="none"/>
        </w:rPr>
      </w:pPr>
      <w:r>
        <w:rPr>
          <w:u w:val="thick"/>
        </w:rPr>
        <w:t>Gram-positive</w:t>
      </w:r>
      <w:r>
        <w:rPr>
          <w:spacing w:val="-3"/>
          <w:u w:val="thick"/>
        </w:rPr>
        <w:t xml:space="preserve"> </w:t>
      </w:r>
      <w:r>
        <w:rPr>
          <w:u w:val="thick"/>
        </w:rPr>
        <w:t>Organism</w:t>
      </w:r>
    </w:p>
    <w:p w14:paraId="65A5504E" w14:textId="77777777" w:rsidR="008E7135" w:rsidRDefault="000E03DC">
      <w:pPr>
        <w:pStyle w:val="ListParagraph"/>
        <w:numPr>
          <w:ilvl w:val="2"/>
          <w:numId w:val="1"/>
        </w:numPr>
        <w:tabs>
          <w:tab w:val="left" w:pos="2020"/>
        </w:tabs>
        <w:spacing w:before="1" w:line="291" w:lineRule="exact"/>
        <w:ind w:left="2019"/>
        <w:jc w:val="left"/>
        <w:rPr>
          <w:sz w:val="24"/>
        </w:rPr>
      </w:pPr>
      <w:r>
        <w:rPr>
          <w:sz w:val="24"/>
        </w:rPr>
        <w:t>Obtain MD prescription for oral</w:t>
      </w:r>
      <w:r>
        <w:rPr>
          <w:spacing w:val="-7"/>
          <w:sz w:val="24"/>
        </w:rPr>
        <w:t xml:space="preserve"> </w:t>
      </w:r>
      <w:r>
        <w:rPr>
          <w:sz w:val="24"/>
        </w:rPr>
        <w:t>antibiotics:</w:t>
      </w:r>
    </w:p>
    <w:p w14:paraId="1206B527" w14:textId="77777777" w:rsidR="008E7135" w:rsidRDefault="000E03DC">
      <w:pPr>
        <w:pStyle w:val="ListParagraph"/>
        <w:numPr>
          <w:ilvl w:val="3"/>
          <w:numId w:val="1"/>
        </w:numPr>
        <w:tabs>
          <w:tab w:val="left" w:pos="2740"/>
        </w:tabs>
        <w:ind w:left="2739" w:right="377"/>
        <w:rPr>
          <w:sz w:val="24"/>
        </w:rPr>
      </w:pPr>
      <w:r>
        <w:rPr>
          <w:sz w:val="24"/>
        </w:rPr>
        <w:t>Cephalexin 500 mg PO twice daily for a minimum of</w:t>
      </w:r>
      <w:r>
        <w:rPr>
          <w:spacing w:val="-17"/>
          <w:sz w:val="24"/>
        </w:rPr>
        <w:t xml:space="preserve"> </w:t>
      </w:r>
      <w:r>
        <w:rPr>
          <w:sz w:val="24"/>
        </w:rPr>
        <w:t>14 days or longer until exit site infection has resolved,</w:t>
      </w:r>
      <w:r>
        <w:rPr>
          <w:spacing w:val="-19"/>
          <w:sz w:val="24"/>
        </w:rPr>
        <w:t xml:space="preserve"> </w:t>
      </w:r>
      <w:r>
        <w:rPr>
          <w:sz w:val="24"/>
        </w:rPr>
        <w:t>or:</w:t>
      </w:r>
    </w:p>
    <w:p w14:paraId="26605377" w14:textId="77777777" w:rsidR="008E7135" w:rsidRDefault="000E03DC">
      <w:pPr>
        <w:pStyle w:val="ListParagraph"/>
        <w:numPr>
          <w:ilvl w:val="3"/>
          <w:numId w:val="1"/>
        </w:numPr>
        <w:tabs>
          <w:tab w:val="left" w:pos="2740"/>
        </w:tabs>
        <w:ind w:right="445"/>
        <w:rPr>
          <w:sz w:val="24"/>
        </w:rPr>
      </w:pPr>
      <w:r>
        <w:rPr>
          <w:sz w:val="24"/>
        </w:rPr>
        <w:t>Trimethoprim/sulfamethoxazole 80/400 mg (SS) PO daily for a minimum of 14 days or longer until exit</w:t>
      </w:r>
      <w:r>
        <w:rPr>
          <w:spacing w:val="-19"/>
          <w:sz w:val="24"/>
        </w:rPr>
        <w:t xml:space="preserve"> </w:t>
      </w:r>
      <w:r>
        <w:rPr>
          <w:sz w:val="24"/>
        </w:rPr>
        <w:t>site infection has</w:t>
      </w:r>
      <w:r>
        <w:rPr>
          <w:spacing w:val="-1"/>
          <w:sz w:val="24"/>
        </w:rPr>
        <w:t xml:space="preserve"> </w:t>
      </w:r>
      <w:r>
        <w:rPr>
          <w:sz w:val="24"/>
        </w:rPr>
        <w:t>resolved.</w:t>
      </w:r>
    </w:p>
    <w:p w14:paraId="586EBBD8" w14:textId="77777777" w:rsidR="008E7135" w:rsidRDefault="000E03DC">
      <w:pPr>
        <w:pStyle w:val="ListParagraph"/>
        <w:numPr>
          <w:ilvl w:val="1"/>
          <w:numId w:val="1"/>
        </w:numPr>
        <w:tabs>
          <w:tab w:val="left" w:pos="1300"/>
        </w:tabs>
        <w:spacing w:line="291" w:lineRule="exact"/>
        <w:rPr>
          <w:sz w:val="24"/>
        </w:rPr>
      </w:pPr>
      <w:r>
        <w:rPr>
          <w:sz w:val="24"/>
        </w:rPr>
        <w:t>Adjust therapy based on culture results and</w:t>
      </w:r>
      <w:r>
        <w:rPr>
          <w:spacing w:val="-12"/>
          <w:sz w:val="24"/>
        </w:rPr>
        <w:t xml:space="preserve"> </w:t>
      </w:r>
      <w:r>
        <w:rPr>
          <w:sz w:val="24"/>
        </w:rPr>
        <w:t>sensitivities.</w:t>
      </w:r>
    </w:p>
    <w:p w14:paraId="2B292F7A" w14:textId="0CDB32E1" w:rsidR="008E7135" w:rsidRDefault="006074ED">
      <w:pPr>
        <w:pStyle w:val="ListParagraph"/>
        <w:numPr>
          <w:ilvl w:val="1"/>
          <w:numId w:val="1"/>
        </w:numPr>
        <w:tabs>
          <w:tab w:val="left" w:pos="1300"/>
        </w:tabs>
        <w:spacing w:line="291" w:lineRule="exact"/>
        <w:rPr>
          <w:sz w:val="24"/>
        </w:rPr>
      </w:pPr>
      <w:r>
        <w:rPr>
          <w:sz w:val="24"/>
        </w:rPr>
        <w:t>T</w:t>
      </w:r>
      <w:r w:rsidR="000E03DC">
        <w:rPr>
          <w:sz w:val="24"/>
        </w:rPr>
        <w:t>wice daily exit site</w:t>
      </w:r>
      <w:r w:rsidR="000E03DC">
        <w:rPr>
          <w:spacing w:val="-3"/>
          <w:sz w:val="24"/>
        </w:rPr>
        <w:t xml:space="preserve"> </w:t>
      </w:r>
      <w:r w:rsidR="000E03DC">
        <w:rPr>
          <w:sz w:val="24"/>
        </w:rPr>
        <w:t>care.</w:t>
      </w:r>
    </w:p>
    <w:p w14:paraId="660F2546" w14:textId="77777777" w:rsidR="008E7135" w:rsidRDefault="000E03DC">
      <w:pPr>
        <w:pStyle w:val="ListParagraph"/>
        <w:numPr>
          <w:ilvl w:val="1"/>
          <w:numId w:val="1"/>
        </w:numPr>
        <w:tabs>
          <w:tab w:val="left" w:pos="1300"/>
        </w:tabs>
        <w:spacing w:before="1" w:line="291" w:lineRule="exact"/>
        <w:rPr>
          <w:sz w:val="24"/>
        </w:rPr>
      </w:pPr>
      <w:r>
        <w:rPr>
          <w:sz w:val="24"/>
        </w:rPr>
        <w:t>Evaluate the exit site weekly until the infection has</w:t>
      </w:r>
      <w:r>
        <w:rPr>
          <w:spacing w:val="-8"/>
          <w:sz w:val="24"/>
        </w:rPr>
        <w:t xml:space="preserve"> </w:t>
      </w:r>
      <w:r>
        <w:rPr>
          <w:sz w:val="24"/>
        </w:rPr>
        <w:t>resolved.</w:t>
      </w:r>
    </w:p>
    <w:p w14:paraId="6E15D2FB" w14:textId="77777777" w:rsidR="008E7135" w:rsidRDefault="000E03DC">
      <w:pPr>
        <w:pStyle w:val="ListParagraph"/>
        <w:numPr>
          <w:ilvl w:val="1"/>
          <w:numId w:val="1"/>
        </w:numPr>
        <w:tabs>
          <w:tab w:val="left" w:pos="1300"/>
        </w:tabs>
        <w:ind w:right="784"/>
        <w:rPr>
          <w:sz w:val="24"/>
        </w:rPr>
      </w:pPr>
      <w:r>
        <w:rPr>
          <w:sz w:val="24"/>
        </w:rPr>
        <w:t>For community acquired MRSA consider doxycycline 100 mg</w:t>
      </w:r>
      <w:r>
        <w:rPr>
          <w:spacing w:val="-22"/>
          <w:sz w:val="24"/>
        </w:rPr>
        <w:t xml:space="preserve"> </w:t>
      </w:r>
      <w:r>
        <w:rPr>
          <w:sz w:val="24"/>
        </w:rPr>
        <w:t>PO twice daily or clindamycin 300 mg PO three times daily vs. IP vancomycin.</w:t>
      </w:r>
    </w:p>
    <w:p w14:paraId="564BDE3E" w14:textId="77777777" w:rsidR="008E7135" w:rsidRDefault="000E03DC">
      <w:pPr>
        <w:pStyle w:val="ListParagraph"/>
        <w:numPr>
          <w:ilvl w:val="1"/>
          <w:numId w:val="1"/>
        </w:numPr>
        <w:tabs>
          <w:tab w:val="left" w:pos="1300"/>
        </w:tabs>
        <w:spacing w:before="1"/>
        <w:ind w:right="280"/>
        <w:rPr>
          <w:sz w:val="24"/>
        </w:rPr>
      </w:pPr>
      <w:r>
        <w:rPr>
          <w:sz w:val="24"/>
        </w:rPr>
        <w:t>In slowly resolving infections with S. aureus consider adding rifampin 600 mg PO daily. Please note that rifampin will reduce the levels of medications such as warfarin and anticonvulsants. The patient should be advised to contact the nephrologist for instructions if they are on any of these</w:t>
      </w:r>
      <w:r>
        <w:rPr>
          <w:spacing w:val="-7"/>
          <w:sz w:val="24"/>
        </w:rPr>
        <w:t xml:space="preserve"> </w:t>
      </w:r>
      <w:r>
        <w:rPr>
          <w:sz w:val="24"/>
        </w:rPr>
        <w:t>medications.</w:t>
      </w:r>
    </w:p>
    <w:p w14:paraId="3799E27D" w14:textId="77777777" w:rsidR="008E7135" w:rsidRDefault="000E03DC">
      <w:pPr>
        <w:pStyle w:val="Heading1"/>
        <w:numPr>
          <w:ilvl w:val="0"/>
          <w:numId w:val="1"/>
        </w:numPr>
        <w:tabs>
          <w:tab w:val="left" w:pos="580"/>
        </w:tabs>
        <w:spacing w:line="291" w:lineRule="exact"/>
        <w:rPr>
          <w:u w:val="none"/>
        </w:rPr>
      </w:pPr>
      <w:r>
        <w:rPr>
          <w:u w:val="thick"/>
        </w:rPr>
        <w:t>Gram-negative Organism</w:t>
      </w:r>
      <w:r>
        <w:rPr>
          <w:spacing w:val="-3"/>
          <w:u w:val="thick"/>
        </w:rPr>
        <w:t xml:space="preserve"> </w:t>
      </w:r>
      <w:r>
        <w:rPr>
          <w:u w:val="thick"/>
        </w:rPr>
        <w:t>(nonpseudomonas)</w:t>
      </w:r>
    </w:p>
    <w:p w14:paraId="2592B9D1" w14:textId="77777777" w:rsidR="008E7135" w:rsidRDefault="000E03DC">
      <w:pPr>
        <w:pStyle w:val="ListParagraph"/>
        <w:numPr>
          <w:ilvl w:val="1"/>
          <w:numId w:val="1"/>
        </w:numPr>
        <w:tabs>
          <w:tab w:val="left" w:pos="1300"/>
        </w:tabs>
        <w:ind w:left="1299" w:right="376"/>
        <w:rPr>
          <w:sz w:val="24"/>
        </w:rPr>
      </w:pPr>
      <w:r>
        <w:rPr>
          <w:sz w:val="24"/>
        </w:rPr>
        <w:t xml:space="preserve">Obtain MD prescription for levofloxacin 500 mg PO on day 1 followed by 250 mg PO </w:t>
      </w:r>
      <w:r>
        <w:rPr>
          <w:b/>
          <w:sz w:val="24"/>
        </w:rPr>
        <w:t xml:space="preserve">every other day </w:t>
      </w:r>
      <w:r>
        <w:rPr>
          <w:sz w:val="24"/>
        </w:rPr>
        <w:t>x 14 days (7 doses total) or longer until exit site infection has</w:t>
      </w:r>
      <w:r>
        <w:rPr>
          <w:spacing w:val="-6"/>
          <w:sz w:val="24"/>
        </w:rPr>
        <w:t xml:space="preserve"> </w:t>
      </w:r>
      <w:r>
        <w:rPr>
          <w:sz w:val="24"/>
        </w:rPr>
        <w:t>resolved.</w:t>
      </w:r>
      <w:r w:rsidR="006074ED">
        <w:rPr>
          <w:sz w:val="24"/>
        </w:rPr>
        <w:t xml:space="preserve"> </w:t>
      </w:r>
    </w:p>
    <w:p w14:paraId="08EF49B1" w14:textId="77777777" w:rsidR="008E7135" w:rsidRDefault="000E03DC">
      <w:pPr>
        <w:pStyle w:val="ListParagraph"/>
        <w:numPr>
          <w:ilvl w:val="1"/>
          <w:numId w:val="1"/>
        </w:numPr>
        <w:tabs>
          <w:tab w:val="left" w:pos="1300"/>
        </w:tabs>
        <w:spacing w:before="1" w:line="291" w:lineRule="exact"/>
        <w:ind w:hanging="361"/>
        <w:rPr>
          <w:sz w:val="24"/>
        </w:rPr>
      </w:pPr>
      <w:r>
        <w:rPr>
          <w:sz w:val="24"/>
        </w:rPr>
        <w:t>Adjust therapy based on culture results and</w:t>
      </w:r>
      <w:r>
        <w:rPr>
          <w:spacing w:val="-12"/>
          <w:sz w:val="24"/>
        </w:rPr>
        <w:t xml:space="preserve"> </w:t>
      </w:r>
      <w:r>
        <w:rPr>
          <w:sz w:val="24"/>
        </w:rPr>
        <w:t>sensitivities.</w:t>
      </w:r>
    </w:p>
    <w:p w14:paraId="5EEAB8B5" w14:textId="503BA014" w:rsidR="008E7135" w:rsidRDefault="006074ED">
      <w:pPr>
        <w:pStyle w:val="ListParagraph"/>
        <w:numPr>
          <w:ilvl w:val="1"/>
          <w:numId w:val="1"/>
        </w:numPr>
        <w:tabs>
          <w:tab w:val="left" w:pos="1300"/>
        </w:tabs>
        <w:spacing w:line="291" w:lineRule="exact"/>
        <w:ind w:hanging="361"/>
        <w:rPr>
          <w:sz w:val="24"/>
        </w:rPr>
      </w:pPr>
      <w:r>
        <w:rPr>
          <w:sz w:val="24"/>
        </w:rPr>
        <w:t>T</w:t>
      </w:r>
      <w:r w:rsidR="000E03DC">
        <w:rPr>
          <w:sz w:val="24"/>
        </w:rPr>
        <w:t>wice daily exit site</w:t>
      </w:r>
      <w:r w:rsidR="000E03DC">
        <w:rPr>
          <w:spacing w:val="-3"/>
          <w:sz w:val="24"/>
        </w:rPr>
        <w:t xml:space="preserve"> </w:t>
      </w:r>
      <w:r w:rsidR="000E03DC">
        <w:rPr>
          <w:sz w:val="24"/>
        </w:rPr>
        <w:t>care.</w:t>
      </w:r>
    </w:p>
    <w:p w14:paraId="6DBCD470" w14:textId="77777777" w:rsidR="008E7135" w:rsidRDefault="000E03DC">
      <w:pPr>
        <w:pStyle w:val="ListParagraph"/>
        <w:numPr>
          <w:ilvl w:val="1"/>
          <w:numId w:val="1"/>
        </w:numPr>
        <w:tabs>
          <w:tab w:val="left" w:pos="1300"/>
        </w:tabs>
        <w:spacing w:before="1" w:line="291" w:lineRule="exact"/>
        <w:ind w:hanging="361"/>
        <w:rPr>
          <w:sz w:val="24"/>
        </w:rPr>
      </w:pPr>
      <w:r>
        <w:rPr>
          <w:sz w:val="24"/>
        </w:rPr>
        <w:t>Evaluate the exit site weekly until the infection has</w:t>
      </w:r>
      <w:r>
        <w:rPr>
          <w:spacing w:val="-9"/>
          <w:sz w:val="24"/>
        </w:rPr>
        <w:t xml:space="preserve"> </w:t>
      </w:r>
      <w:r>
        <w:rPr>
          <w:sz w:val="24"/>
        </w:rPr>
        <w:t>resolved.</w:t>
      </w:r>
    </w:p>
    <w:p w14:paraId="002EC0FB" w14:textId="77777777" w:rsidR="008E7135" w:rsidRDefault="000E03DC">
      <w:pPr>
        <w:pStyle w:val="ListParagraph"/>
        <w:numPr>
          <w:ilvl w:val="1"/>
          <w:numId w:val="1"/>
        </w:numPr>
        <w:tabs>
          <w:tab w:val="left" w:pos="1300"/>
        </w:tabs>
        <w:ind w:left="1299" w:right="227"/>
        <w:rPr>
          <w:sz w:val="24"/>
        </w:rPr>
      </w:pPr>
      <w:r>
        <w:rPr>
          <w:sz w:val="24"/>
        </w:rPr>
        <w:t>Remind the patient not to take phosphate binders, antacids or milk with levofloxacin as this will decrease the absorption of the antibiotic. Administration of levofloxacin should be separated from these drugs by at least 2 hours with levofloxacin being administered first.</w:t>
      </w:r>
    </w:p>
    <w:p w14:paraId="1CAE0D11" w14:textId="77777777" w:rsidR="008E7135" w:rsidRDefault="000E03DC">
      <w:pPr>
        <w:pStyle w:val="Heading1"/>
        <w:numPr>
          <w:ilvl w:val="0"/>
          <w:numId w:val="1"/>
        </w:numPr>
        <w:tabs>
          <w:tab w:val="left" w:pos="580"/>
        </w:tabs>
        <w:rPr>
          <w:u w:val="none"/>
        </w:rPr>
      </w:pPr>
      <w:r>
        <w:rPr>
          <w:u w:val="thick"/>
        </w:rPr>
        <w:t>Pseudomonas</w:t>
      </w:r>
    </w:p>
    <w:p w14:paraId="5C37FB46" w14:textId="77777777" w:rsidR="008E7135" w:rsidRDefault="000E03DC">
      <w:pPr>
        <w:pStyle w:val="ListParagraph"/>
        <w:numPr>
          <w:ilvl w:val="1"/>
          <w:numId w:val="1"/>
        </w:numPr>
        <w:tabs>
          <w:tab w:val="left" w:pos="1300"/>
        </w:tabs>
        <w:spacing w:before="1"/>
        <w:ind w:left="1299" w:right="431"/>
        <w:rPr>
          <w:sz w:val="24"/>
        </w:rPr>
      </w:pPr>
      <w:r>
        <w:rPr>
          <w:sz w:val="24"/>
        </w:rPr>
        <w:t>Obtain MD prescription for levofloxacin 500 mg PO on day 1 followed by 250 mg PO every other day x 21 days (10 doses</w:t>
      </w:r>
      <w:r>
        <w:rPr>
          <w:spacing w:val="-20"/>
          <w:sz w:val="24"/>
        </w:rPr>
        <w:t xml:space="preserve"> </w:t>
      </w:r>
      <w:r>
        <w:rPr>
          <w:sz w:val="24"/>
        </w:rPr>
        <w:t>total) or</w:t>
      </w:r>
      <w:r>
        <w:rPr>
          <w:spacing w:val="-1"/>
          <w:sz w:val="24"/>
        </w:rPr>
        <w:t xml:space="preserve"> </w:t>
      </w:r>
      <w:r>
        <w:rPr>
          <w:sz w:val="24"/>
        </w:rPr>
        <w:t>longer.</w:t>
      </w:r>
    </w:p>
    <w:p w14:paraId="6AAF9A33" w14:textId="77777777" w:rsidR="008E7135" w:rsidRDefault="000E03DC">
      <w:pPr>
        <w:pStyle w:val="ListParagraph"/>
        <w:numPr>
          <w:ilvl w:val="1"/>
          <w:numId w:val="1"/>
        </w:numPr>
        <w:tabs>
          <w:tab w:val="left" w:pos="1300"/>
        </w:tabs>
        <w:spacing w:line="290" w:lineRule="exact"/>
        <w:ind w:hanging="361"/>
        <w:rPr>
          <w:sz w:val="24"/>
        </w:rPr>
      </w:pPr>
      <w:r>
        <w:rPr>
          <w:sz w:val="24"/>
        </w:rPr>
        <w:t>Adjust therapy based on culture results and</w:t>
      </w:r>
      <w:r>
        <w:rPr>
          <w:spacing w:val="-12"/>
          <w:sz w:val="24"/>
        </w:rPr>
        <w:t xml:space="preserve"> </w:t>
      </w:r>
      <w:r>
        <w:rPr>
          <w:sz w:val="24"/>
        </w:rPr>
        <w:t>sensitivities.</w:t>
      </w:r>
    </w:p>
    <w:p w14:paraId="6DBB7456" w14:textId="77777777" w:rsidR="008E7135" w:rsidRDefault="000E03DC">
      <w:pPr>
        <w:pStyle w:val="ListParagraph"/>
        <w:numPr>
          <w:ilvl w:val="1"/>
          <w:numId w:val="1"/>
        </w:numPr>
        <w:tabs>
          <w:tab w:val="left" w:pos="1300"/>
        </w:tabs>
        <w:spacing w:before="1" w:line="291" w:lineRule="exact"/>
        <w:ind w:hanging="361"/>
        <w:rPr>
          <w:sz w:val="24"/>
        </w:rPr>
      </w:pPr>
      <w:r>
        <w:rPr>
          <w:sz w:val="24"/>
        </w:rPr>
        <w:t>Continue twice daily exit site</w:t>
      </w:r>
      <w:r>
        <w:rPr>
          <w:spacing w:val="-3"/>
          <w:sz w:val="24"/>
        </w:rPr>
        <w:t xml:space="preserve"> </w:t>
      </w:r>
      <w:r>
        <w:rPr>
          <w:sz w:val="24"/>
        </w:rPr>
        <w:t>care.</w:t>
      </w:r>
    </w:p>
    <w:p w14:paraId="4B6AF0F7" w14:textId="77777777" w:rsidR="008E7135" w:rsidRDefault="000E03DC">
      <w:pPr>
        <w:pStyle w:val="ListParagraph"/>
        <w:numPr>
          <w:ilvl w:val="1"/>
          <w:numId w:val="1"/>
        </w:numPr>
        <w:tabs>
          <w:tab w:val="left" w:pos="1300"/>
        </w:tabs>
        <w:spacing w:line="291" w:lineRule="exact"/>
        <w:ind w:hanging="361"/>
        <w:rPr>
          <w:sz w:val="24"/>
        </w:rPr>
      </w:pPr>
      <w:r>
        <w:rPr>
          <w:sz w:val="24"/>
        </w:rPr>
        <w:t>Evaluate the exit site weekly until the infection has</w:t>
      </w:r>
      <w:r>
        <w:rPr>
          <w:spacing w:val="-9"/>
          <w:sz w:val="24"/>
        </w:rPr>
        <w:t xml:space="preserve"> </w:t>
      </w:r>
      <w:r>
        <w:rPr>
          <w:sz w:val="24"/>
        </w:rPr>
        <w:t>resolved.</w:t>
      </w:r>
    </w:p>
    <w:p w14:paraId="60AB18F5" w14:textId="77777777" w:rsidR="008E7135" w:rsidRDefault="000E03DC">
      <w:pPr>
        <w:pStyle w:val="ListParagraph"/>
        <w:numPr>
          <w:ilvl w:val="1"/>
          <w:numId w:val="1"/>
        </w:numPr>
        <w:tabs>
          <w:tab w:val="left" w:pos="1300"/>
        </w:tabs>
        <w:spacing w:before="1"/>
        <w:ind w:left="1299" w:right="227"/>
        <w:rPr>
          <w:sz w:val="24"/>
        </w:rPr>
      </w:pPr>
      <w:r>
        <w:rPr>
          <w:sz w:val="24"/>
        </w:rPr>
        <w:t>Remind the patient not to take phosphate binders, antacids or milk with levofloxacin as this will decrease the absorption of the antibiotic. Administration of levofloxacin should be separated from these drugs by at least 2 hours with levofloxacin being administered first.</w:t>
      </w:r>
    </w:p>
    <w:p w14:paraId="1EE9580E" w14:textId="77777777" w:rsidR="008E7135" w:rsidRDefault="008E7135">
      <w:pPr>
        <w:rPr>
          <w:sz w:val="24"/>
        </w:rPr>
        <w:sectPr w:rsidR="008E7135">
          <w:headerReference w:type="default" r:id="rId7"/>
          <w:footerReference w:type="default" r:id="rId8"/>
          <w:pgSz w:w="12240" w:h="15840"/>
          <w:pgMar w:top="1560" w:right="1220" w:bottom="1020" w:left="1220" w:header="721" w:footer="757" w:gutter="0"/>
          <w:cols w:space="720"/>
        </w:sectPr>
      </w:pPr>
    </w:p>
    <w:p w14:paraId="78E3DDE2" w14:textId="77777777" w:rsidR="008E7135" w:rsidRDefault="008E7135">
      <w:pPr>
        <w:pStyle w:val="BodyText"/>
        <w:spacing w:before="3"/>
        <w:ind w:left="0" w:firstLine="0"/>
        <w:rPr>
          <w:sz w:val="10"/>
        </w:rPr>
      </w:pPr>
    </w:p>
    <w:p w14:paraId="1985F34C" w14:textId="07526DBB" w:rsidR="00FC1129" w:rsidRDefault="000E03DC">
      <w:pPr>
        <w:pStyle w:val="ListParagraph"/>
        <w:numPr>
          <w:ilvl w:val="1"/>
          <w:numId w:val="1"/>
        </w:numPr>
        <w:tabs>
          <w:tab w:val="left" w:pos="1300"/>
        </w:tabs>
        <w:spacing w:before="100"/>
        <w:ind w:right="439"/>
        <w:rPr>
          <w:sz w:val="24"/>
        </w:rPr>
      </w:pPr>
      <w:r>
        <w:rPr>
          <w:sz w:val="24"/>
        </w:rPr>
        <w:t>If resolution of the infection is slow or if there is recurrent Pseudomonas exit-site infection add ceftazidime 1 gram IP daily</w:t>
      </w:r>
      <w:r w:rsidR="00FC1129">
        <w:rPr>
          <w:sz w:val="24"/>
        </w:rPr>
        <w:t xml:space="preserve"> or an aminoglycocide in long dwell (minimum 6 hours). </w:t>
      </w:r>
    </w:p>
    <w:p w14:paraId="793000FA" w14:textId="77777777" w:rsidR="008E7135" w:rsidRDefault="000E03DC">
      <w:pPr>
        <w:pStyle w:val="ListParagraph"/>
        <w:numPr>
          <w:ilvl w:val="1"/>
          <w:numId w:val="1"/>
        </w:numPr>
        <w:tabs>
          <w:tab w:val="left" w:pos="1300"/>
        </w:tabs>
        <w:spacing w:before="1"/>
        <w:ind w:right="1002"/>
        <w:rPr>
          <w:sz w:val="24"/>
        </w:rPr>
      </w:pPr>
      <w:r>
        <w:rPr>
          <w:sz w:val="24"/>
        </w:rPr>
        <w:t>Catheter removal should be considered earlier for exit-site infections caused by P. aeruginosa not responding to</w:t>
      </w:r>
      <w:r>
        <w:rPr>
          <w:spacing w:val="-22"/>
          <w:sz w:val="24"/>
        </w:rPr>
        <w:t xml:space="preserve"> </w:t>
      </w:r>
      <w:r>
        <w:rPr>
          <w:sz w:val="24"/>
        </w:rPr>
        <w:t>therapy.</w:t>
      </w:r>
    </w:p>
    <w:p w14:paraId="41A276F3" w14:textId="77777777" w:rsidR="008E7135" w:rsidRDefault="000E03DC">
      <w:pPr>
        <w:pStyle w:val="ListParagraph"/>
        <w:numPr>
          <w:ilvl w:val="0"/>
          <w:numId w:val="1"/>
        </w:numPr>
        <w:tabs>
          <w:tab w:val="left" w:pos="580"/>
        </w:tabs>
        <w:spacing w:before="120"/>
        <w:ind w:right="280"/>
        <w:rPr>
          <w:sz w:val="24"/>
        </w:rPr>
      </w:pPr>
      <w:r>
        <w:rPr>
          <w:b/>
          <w:sz w:val="24"/>
          <w:u w:val="thick"/>
        </w:rPr>
        <w:t>RECURRENT EXIT SITE INFECTION</w:t>
      </w:r>
      <w:r>
        <w:rPr>
          <w:b/>
          <w:sz w:val="24"/>
        </w:rPr>
        <w:t xml:space="preserve"> </w:t>
      </w:r>
      <w:r>
        <w:rPr>
          <w:sz w:val="24"/>
        </w:rPr>
        <w:t>(recurrent infection within 30</w:t>
      </w:r>
      <w:r>
        <w:rPr>
          <w:spacing w:val="-27"/>
          <w:sz w:val="24"/>
        </w:rPr>
        <w:t xml:space="preserve"> </w:t>
      </w:r>
      <w:r>
        <w:rPr>
          <w:sz w:val="24"/>
        </w:rPr>
        <w:t>days of completion of</w:t>
      </w:r>
      <w:r>
        <w:rPr>
          <w:spacing w:val="-3"/>
          <w:sz w:val="24"/>
        </w:rPr>
        <w:t xml:space="preserve"> </w:t>
      </w:r>
      <w:r>
        <w:rPr>
          <w:sz w:val="24"/>
        </w:rPr>
        <w:t>treatment)</w:t>
      </w:r>
    </w:p>
    <w:p w14:paraId="10BA1322" w14:textId="77777777" w:rsidR="008E7135" w:rsidRDefault="000E03DC">
      <w:pPr>
        <w:pStyle w:val="ListParagraph"/>
        <w:numPr>
          <w:ilvl w:val="1"/>
          <w:numId w:val="1"/>
        </w:numPr>
        <w:tabs>
          <w:tab w:val="left" w:pos="1300"/>
        </w:tabs>
        <w:spacing w:line="291" w:lineRule="exact"/>
        <w:rPr>
          <w:sz w:val="24"/>
        </w:rPr>
      </w:pPr>
      <w:r>
        <w:rPr>
          <w:sz w:val="24"/>
        </w:rPr>
        <w:t>Follow initial protocol.</w:t>
      </w:r>
    </w:p>
    <w:p w14:paraId="4D7CC46F" w14:textId="77777777" w:rsidR="008E7135" w:rsidRDefault="000E03DC">
      <w:pPr>
        <w:pStyle w:val="ListParagraph"/>
        <w:numPr>
          <w:ilvl w:val="1"/>
          <w:numId w:val="1"/>
        </w:numPr>
        <w:tabs>
          <w:tab w:val="left" w:pos="1300"/>
        </w:tabs>
        <w:ind w:left="1299" w:right="477"/>
        <w:rPr>
          <w:sz w:val="24"/>
        </w:rPr>
      </w:pPr>
      <w:r>
        <w:rPr>
          <w:sz w:val="24"/>
        </w:rPr>
        <w:t>Confirm that the patient is using Gentamicin cream 0.1%</w:t>
      </w:r>
      <w:r>
        <w:rPr>
          <w:spacing w:val="-22"/>
          <w:sz w:val="24"/>
        </w:rPr>
        <w:t xml:space="preserve"> </w:t>
      </w:r>
      <w:r>
        <w:rPr>
          <w:sz w:val="24"/>
        </w:rPr>
        <w:t>topically per protocol. (If Gentamicin allergic use Mupirocin</w:t>
      </w:r>
      <w:r>
        <w:rPr>
          <w:spacing w:val="-11"/>
          <w:sz w:val="24"/>
        </w:rPr>
        <w:t xml:space="preserve"> </w:t>
      </w:r>
      <w:r>
        <w:rPr>
          <w:sz w:val="24"/>
        </w:rPr>
        <w:t>cream.)</w:t>
      </w:r>
    </w:p>
    <w:p w14:paraId="4688C24C" w14:textId="77777777" w:rsidR="008E7135" w:rsidRDefault="000E03DC">
      <w:pPr>
        <w:pStyle w:val="ListParagraph"/>
        <w:numPr>
          <w:ilvl w:val="1"/>
          <w:numId w:val="1"/>
        </w:numPr>
        <w:tabs>
          <w:tab w:val="left" w:pos="1300"/>
        </w:tabs>
        <w:ind w:hanging="361"/>
        <w:rPr>
          <w:sz w:val="24"/>
        </w:rPr>
      </w:pPr>
      <w:r>
        <w:rPr>
          <w:sz w:val="24"/>
        </w:rPr>
        <w:t>Assess for tunnel infection and</w:t>
      </w:r>
      <w:r>
        <w:rPr>
          <w:spacing w:val="-3"/>
          <w:sz w:val="24"/>
        </w:rPr>
        <w:t xml:space="preserve"> </w:t>
      </w:r>
      <w:r>
        <w:rPr>
          <w:sz w:val="24"/>
        </w:rPr>
        <w:t>peritonitis.</w:t>
      </w:r>
    </w:p>
    <w:p w14:paraId="0792ADA3" w14:textId="77777777" w:rsidR="008E7135" w:rsidRDefault="000E03DC">
      <w:pPr>
        <w:pStyle w:val="ListParagraph"/>
        <w:numPr>
          <w:ilvl w:val="1"/>
          <w:numId w:val="1"/>
        </w:numPr>
        <w:tabs>
          <w:tab w:val="left" w:pos="1300"/>
        </w:tabs>
        <w:ind w:left="1299" w:hanging="361"/>
        <w:rPr>
          <w:sz w:val="24"/>
        </w:rPr>
      </w:pPr>
      <w:r>
        <w:rPr>
          <w:sz w:val="24"/>
        </w:rPr>
        <w:t>Consider prompt catheter removal for refractory</w:t>
      </w:r>
      <w:r>
        <w:rPr>
          <w:spacing w:val="-9"/>
          <w:sz w:val="24"/>
        </w:rPr>
        <w:t xml:space="preserve"> </w:t>
      </w:r>
      <w:r>
        <w:rPr>
          <w:sz w:val="24"/>
        </w:rPr>
        <w:t>cases.</w:t>
      </w:r>
    </w:p>
    <w:p w14:paraId="211BF965" w14:textId="77777777" w:rsidR="008E7135" w:rsidRDefault="000E03DC">
      <w:pPr>
        <w:pStyle w:val="Heading1"/>
        <w:numPr>
          <w:ilvl w:val="0"/>
          <w:numId w:val="1"/>
        </w:numPr>
        <w:tabs>
          <w:tab w:val="left" w:pos="580"/>
        </w:tabs>
        <w:spacing w:before="119"/>
        <w:rPr>
          <w:u w:val="none"/>
        </w:rPr>
      </w:pPr>
      <w:r>
        <w:rPr>
          <w:u w:val="thick"/>
        </w:rPr>
        <w:t>SPECIAL</w:t>
      </w:r>
      <w:r>
        <w:rPr>
          <w:spacing w:val="-1"/>
          <w:u w:val="thick"/>
        </w:rPr>
        <w:t xml:space="preserve"> </w:t>
      </w:r>
      <w:r>
        <w:rPr>
          <w:u w:val="thick"/>
        </w:rPr>
        <w:t>CONSIDERATIONS:</w:t>
      </w:r>
    </w:p>
    <w:p w14:paraId="493B4D7D" w14:textId="77777777" w:rsidR="008E7135" w:rsidRDefault="000E03DC">
      <w:pPr>
        <w:pStyle w:val="ListParagraph"/>
        <w:numPr>
          <w:ilvl w:val="1"/>
          <w:numId w:val="1"/>
        </w:numPr>
        <w:tabs>
          <w:tab w:val="left" w:pos="1300"/>
        </w:tabs>
        <w:spacing w:before="1"/>
        <w:ind w:right="333"/>
        <w:rPr>
          <w:sz w:val="24"/>
        </w:rPr>
      </w:pPr>
      <w:r>
        <w:rPr>
          <w:sz w:val="24"/>
        </w:rPr>
        <w:t>The patient with an exit site infection that progresses to peritonitis, or who presents with an exit site infection in conjunction with peritonitis with the same organism will usually require catheter removal except in the case of coagulase negative staphylococcus which is usually responsive to antibiotic</w:t>
      </w:r>
      <w:r>
        <w:rPr>
          <w:spacing w:val="-4"/>
          <w:sz w:val="24"/>
        </w:rPr>
        <w:t xml:space="preserve"> </w:t>
      </w:r>
      <w:r>
        <w:rPr>
          <w:sz w:val="24"/>
        </w:rPr>
        <w:t>therapy.</w:t>
      </w:r>
    </w:p>
    <w:p w14:paraId="03189E4A" w14:textId="77777777" w:rsidR="008E7135" w:rsidRDefault="000E03DC">
      <w:pPr>
        <w:pStyle w:val="ListParagraph"/>
        <w:numPr>
          <w:ilvl w:val="1"/>
          <w:numId w:val="1"/>
        </w:numPr>
        <w:tabs>
          <w:tab w:val="left" w:pos="1300"/>
        </w:tabs>
        <w:spacing w:before="1"/>
        <w:ind w:right="554"/>
        <w:rPr>
          <w:sz w:val="24"/>
        </w:rPr>
      </w:pPr>
      <w:r>
        <w:rPr>
          <w:sz w:val="24"/>
        </w:rPr>
        <w:t>If prolonged therapy (e.g. longer than 3 weeks) with appropriate antibiotics fails to resolve the infection, access replacement as a single procedure under antibiotic coverage can be considered</w:t>
      </w:r>
      <w:r>
        <w:rPr>
          <w:spacing w:val="-29"/>
          <w:sz w:val="24"/>
        </w:rPr>
        <w:t xml:space="preserve"> </w:t>
      </w:r>
      <w:r>
        <w:rPr>
          <w:sz w:val="24"/>
        </w:rPr>
        <w:t>and low volume, supine PD can be continued until the new access is ready for full volume</w:t>
      </w:r>
      <w:r>
        <w:rPr>
          <w:spacing w:val="-4"/>
          <w:sz w:val="24"/>
        </w:rPr>
        <w:t xml:space="preserve"> </w:t>
      </w:r>
      <w:r>
        <w:rPr>
          <w:sz w:val="24"/>
        </w:rPr>
        <w:t>treatment.</w:t>
      </w:r>
    </w:p>
    <w:p w14:paraId="627D233F" w14:textId="77777777" w:rsidR="008E7135" w:rsidRDefault="000E03DC">
      <w:pPr>
        <w:pStyle w:val="ListParagraph"/>
        <w:numPr>
          <w:ilvl w:val="1"/>
          <w:numId w:val="1"/>
        </w:numPr>
        <w:tabs>
          <w:tab w:val="left" w:pos="1300"/>
        </w:tabs>
        <w:ind w:right="280"/>
        <w:rPr>
          <w:sz w:val="24"/>
        </w:rPr>
      </w:pPr>
      <w:r>
        <w:rPr>
          <w:sz w:val="24"/>
        </w:rPr>
        <w:t>Fungal prophylaxis recommended: Oral Nystatin 500,000 units 4 times daily while patients are on antibiotics for greater than 7</w:t>
      </w:r>
      <w:r>
        <w:rPr>
          <w:spacing w:val="-24"/>
          <w:sz w:val="24"/>
        </w:rPr>
        <w:t xml:space="preserve"> </w:t>
      </w:r>
      <w:r>
        <w:rPr>
          <w:sz w:val="24"/>
        </w:rPr>
        <w:t>days. Alternative to nystatin is fluconazole 200mg PO first day then every other day. Fungal prophylaxis should continue for one week after antibiotic</w:t>
      </w:r>
      <w:r>
        <w:rPr>
          <w:spacing w:val="-2"/>
          <w:sz w:val="24"/>
        </w:rPr>
        <w:t xml:space="preserve"> </w:t>
      </w:r>
      <w:r>
        <w:rPr>
          <w:sz w:val="24"/>
        </w:rPr>
        <w:t>therapy.</w:t>
      </w:r>
      <w:r w:rsidR="002A1532">
        <w:rPr>
          <w:sz w:val="24"/>
        </w:rPr>
        <w:t xml:space="preserve"> </w:t>
      </w:r>
    </w:p>
    <w:p w14:paraId="75BE01BA" w14:textId="0A5FE9F8" w:rsidR="002A1532" w:rsidRDefault="002A1532">
      <w:pPr>
        <w:pStyle w:val="ListParagraph"/>
        <w:numPr>
          <w:ilvl w:val="1"/>
          <w:numId w:val="1"/>
        </w:numPr>
        <w:tabs>
          <w:tab w:val="left" w:pos="1300"/>
        </w:tabs>
        <w:ind w:right="280"/>
        <w:rPr>
          <w:sz w:val="24"/>
        </w:rPr>
      </w:pPr>
      <w:r>
        <w:rPr>
          <w:sz w:val="24"/>
        </w:rPr>
        <w:t>Note: the prescription must come from the MD’s office. The PD nurse cannot call in prescription for the</w:t>
      </w:r>
      <w:r>
        <w:rPr>
          <w:spacing w:val="-9"/>
          <w:sz w:val="24"/>
        </w:rPr>
        <w:t xml:space="preserve"> </w:t>
      </w:r>
      <w:r>
        <w:rPr>
          <w:sz w:val="24"/>
        </w:rPr>
        <w:t>MD</w:t>
      </w:r>
      <w:r w:rsidR="00E868D2">
        <w:rPr>
          <w:sz w:val="24"/>
        </w:rPr>
        <w:t>.</w:t>
      </w:r>
    </w:p>
    <w:p w14:paraId="15552540" w14:textId="77777777" w:rsidR="008E7135" w:rsidRDefault="008E7135">
      <w:pPr>
        <w:pStyle w:val="BodyText"/>
        <w:ind w:left="0" w:firstLine="0"/>
        <w:rPr>
          <w:sz w:val="20"/>
        </w:rPr>
      </w:pPr>
    </w:p>
    <w:p w14:paraId="7E82B248" w14:textId="77777777" w:rsidR="008E7135" w:rsidRDefault="008E7135">
      <w:pPr>
        <w:pStyle w:val="BodyText"/>
        <w:ind w:left="0" w:firstLine="0"/>
        <w:rPr>
          <w:sz w:val="20"/>
        </w:rPr>
      </w:pPr>
    </w:p>
    <w:p w14:paraId="76FE7089" w14:textId="77777777" w:rsidR="008E7135" w:rsidRDefault="008E7135">
      <w:pPr>
        <w:pStyle w:val="BodyText"/>
        <w:ind w:left="0" w:firstLine="0"/>
        <w:rPr>
          <w:sz w:val="20"/>
        </w:rPr>
      </w:pPr>
    </w:p>
    <w:p w14:paraId="1A3025B1" w14:textId="77777777" w:rsidR="008E7135" w:rsidRDefault="008E7135">
      <w:pPr>
        <w:pStyle w:val="BodyText"/>
        <w:ind w:left="0" w:firstLine="0"/>
        <w:rPr>
          <w:sz w:val="20"/>
        </w:rPr>
      </w:pPr>
    </w:p>
    <w:p w14:paraId="4422BCC2" w14:textId="77777777" w:rsidR="008E7135" w:rsidRDefault="008E7135">
      <w:pPr>
        <w:pStyle w:val="BodyText"/>
        <w:ind w:left="0" w:firstLine="0"/>
        <w:rPr>
          <w:sz w:val="20"/>
        </w:rPr>
      </w:pPr>
    </w:p>
    <w:p w14:paraId="03B046EE" w14:textId="77777777" w:rsidR="008E7135" w:rsidRDefault="008E7135">
      <w:pPr>
        <w:pStyle w:val="BodyText"/>
        <w:ind w:left="0" w:firstLine="0"/>
        <w:rPr>
          <w:sz w:val="20"/>
        </w:rPr>
      </w:pPr>
    </w:p>
    <w:p w14:paraId="1C9DD3E2" w14:textId="77777777" w:rsidR="008E7135" w:rsidRDefault="0018359C">
      <w:pPr>
        <w:pStyle w:val="BodyText"/>
        <w:spacing w:before="3"/>
        <w:ind w:left="0" w:firstLine="0"/>
        <w:rPr>
          <w:sz w:val="18"/>
        </w:rPr>
      </w:pPr>
      <w:r>
        <w:rPr>
          <w:noProof/>
        </w:rPr>
        <mc:AlternateContent>
          <mc:Choice Requires="wps">
            <w:drawing>
              <wp:anchor distT="0" distB="0" distL="0" distR="0" simplePos="0" relativeHeight="487588352" behindDoc="1" locked="0" layoutInCell="1" allowOverlap="1" wp14:anchorId="42D1A470" wp14:editId="7F9E2B6F">
                <wp:simplePos x="0" y="0"/>
                <wp:positionH relativeFrom="page">
                  <wp:posOffset>914400</wp:posOffset>
                </wp:positionH>
                <wp:positionV relativeFrom="paragraph">
                  <wp:posOffset>170815</wp:posOffset>
                </wp:positionV>
                <wp:extent cx="243840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C4FD0" id="Freeform 4" o:spid="_x0000_s1026" style="position:absolute;margin-left:1in;margin-top:13.45pt;width:19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" path="m,l3840,e" filled="f" strokeweight=".24978mm">
                <v:path arrowok="t" o:connecttype="custom" o:connectlocs="0,0;2438400,0" o:connectangles="0,0"/>
                <w10:wrap type="topAndBottom" anchorx="page"/>
              </v:shape>
            </w:pict>
          </mc:Fallback>
        </mc:AlternateContent>
      </w:r>
    </w:p>
    <w:p w14:paraId="6DD63A26" w14:textId="77777777" w:rsidR="008E7135" w:rsidRDefault="000E03DC">
      <w:pPr>
        <w:pStyle w:val="BodyText"/>
        <w:spacing w:line="276" w:lineRule="exact"/>
        <w:ind w:left="220" w:firstLine="0"/>
      </w:pPr>
      <w:r>
        <w:t>Physician Name (Please Print)</w:t>
      </w:r>
    </w:p>
    <w:p w14:paraId="4E81B4B9" w14:textId="77777777" w:rsidR="008E7135" w:rsidRDefault="008E7135">
      <w:pPr>
        <w:pStyle w:val="BodyText"/>
        <w:ind w:left="0" w:firstLine="0"/>
        <w:rPr>
          <w:sz w:val="20"/>
        </w:rPr>
      </w:pPr>
    </w:p>
    <w:p w14:paraId="60FEECDB" w14:textId="77777777" w:rsidR="008E7135" w:rsidRDefault="0018359C">
      <w:pPr>
        <w:pStyle w:val="BodyText"/>
        <w:spacing w:before="3"/>
        <w:ind w:left="0" w:firstLine="0"/>
        <w:rPr>
          <w:sz w:val="22"/>
        </w:rPr>
      </w:pPr>
      <w:r>
        <w:rPr>
          <w:noProof/>
        </w:rPr>
        <mc:AlternateContent>
          <mc:Choice Requires="wps">
            <w:drawing>
              <wp:anchor distT="0" distB="0" distL="0" distR="0" simplePos="0" relativeHeight="487588864" behindDoc="1" locked="0" layoutInCell="1" allowOverlap="1" wp14:anchorId="71F53DDA" wp14:editId="6852D033">
                <wp:simplePos x="0" y="0"/>
                <wp:positionH relativeFrom="page">
                  <wp:posOffset>914400</wp:posOffset>
                </wp:positionH>
                <wp:positionV relativeFrom="paragraph">
                  <wp:posOffset>201930</wp:posOffset>
                </wp:positionV>
                <wp:extent cx="243840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1440 1440"/>
                            <a:gd name="T1" fmla="*/ T0 w 3840"/>
                            <a:gd name="T2" fmla="+- 0 5279 1440"/>
                            <a:gd name="T3" fmla="*/ T2 w 3840"/>
                          </a:gdLst>
                          <a:ahLst/>
                          <a:cxnLst>
                            <a:cxn ang="0">
                              <a:pos x="T1" y="0"/>
                            </a:cxn>
                            <a:cxn ang="0">
                              <a:pos x="T3" y="0"/>
                            </a:cxn>
                          </a:cxnLst>
                          <a:rect l="0" t="0" r="r" b="b"/>
                          <a:pathLst>
                            <a:path w="3840">
                              <a:moveTo>
                                <a:pt x="0" y="0"/>
                              </a:moveTo>
                              <a:lnTo>
                                <a:pt x="3839" y="0"/>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A1C5F" id="Freeform 3" o:spid="_x0000_s1026" style="position:absolute;margin-left:1in;margin-top:15.9pt;width:19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" path="m,l3839,e" filled="f" strokeweight=".24978mm">
                <v:path arrowok="t" o:connecttype="custom" o:connectlocs="0,0;2437765,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4C0A260B" wp14:editId="3C6254F4">
                <wp:simplePos x="0" y="0"/>
                <wp:positionH relativeFrom="page">
                  <wp:posOffset>3542665</wp:posOffset>
                </wp:positionH>
                <wp:positionV relativeFrom="paragraph">
                  <wp:posOffset>201930</wp:posOffset>
                </wp:positionV>
                <wp:extent cx="96964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9645" cy="1270"/>
                        </a:xfrm>
                        <a:custGeom>
                          <a:avLst/>
                          <a:gdLst>
                            <a:gd name="T0" fmla="+- 0 5579 5579"/>
                            <a:gd name="T1" fmla="*/ T0 w 1527"/>
                            <a:gd name="T2" fmla="+- 0 7105 5579"/>
                            <a:gd name="T3" fmla="*/ T2 w 1527"/>
                          </a:gdLst>
                          <a:ahLst/>
                          <a:cxnLst>
                            <a:cxn ang="0">
                              <a:pos x="T1" y="0"/>
                            </a:cxn>
                            <a:cxn ang="0">
                              <a:pos x="T3" y="0"/>
                            </a:cxn>
                          </a:cxnLst>
                          <a:rect l="0" t="0" r="r" b="b"/>
                          <a:pathLst>
                            <a:path w="1527">
                              <a:moveTo>
                                <a:pt x="0" y="0"/>
                              </a:moveTo>
                              <a:lnTo>
                                <a:pt x="1526" y="0"/>
                              </a:lnTo>
                            </a:path>
                          </a:pathLst>
                        </a:custGeom>
                        <a:noFill/>
                        <a:ln w="89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21775" id="Freeform 2" o:spid="_x0000_s1026" style="position:absolute;margin-left:278.95pt;margin-top:15.9pt;width:76.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" path="m,l1526,e" filled="f" strokeweight=".24978mm">
                <v:path arrowok="t" o:connecttype="custom" o:connectlocs="0,0;969010,0" o:connectangles="0,0"/>
                <w10:wrap type="topAndBottom" anchorx="page"/>
              </v:shape>
            </w:pict>
          </mc:Fallback>
        </mc:AlternateContent>
      </w:r>
    </w:p>
    <w:p w14:paraId="2ED16A9F" w14:textId="77777777" w:rsidR="008E7135" w:rsidRDefault="000E03DC">
      <w:pPr>
        <w:pStyle w:val="BodyText"/>
        <w:tabs>
          <w:tab w:val="left" w:pos="4324"/>
        </w:tabs>
        <w:spacing w:line="277" w:lineRule="exact"/>
        <w:ind w:left="220" w:firstLine="0"/>
      </w:pPr>
      <w:r>
        <w:t>Physician</w:t>
      </w:r>
      <w:r>
        <w:rPr>
          <w:spacing w:val="-8"/>
        </w:rPr>
        <w:t xml:space="preserve"> </w:t>
      </w:r>
      <w:r>
        <w:t>signature</w:t>
      </w:r>
      <w:r>
        <w:tab/>
        <w:t>Date</w:t>
      </w:r>
    </w:p>
    <w:p w14:paraId="32F4202B" w14:textId="1EE1BD44" w:rsidR="008E7135" w:rsidRDefault="000E03DC">
      <w:pPr>
        <w:ind w:left="219"/>
        <w:rPr>
          <w:b/>
          <w:i/>
          <w:sz w:val="24"/>
        </w:rPr>
      </w:pPr>
      <w:r>
        <w:rPr>
          <w:b/>
          <w:i/>
          <w:sz w:val="24"/>
        </w:rPr>
        <w:t xml:space="preserve">(see </w:t>
      </w:r>
      <w:r w:rsidR="00A04DF6">
        <w:rPr>
          <w:b/>
          <w:i/>
          <w:sz w:val="24"/>
        </w:rPr>
        <w:t>Initial Orders</w:t>
      </w:r>
      <w:r>
        <w:rPr>
          <w:b/>
          <w:i/>
          <w:sz w:val="24"/>
        </w:rPr>
        <w:t>)</w:t>
      </w:r>
    </w:p>
    <w:p w14:paraId="5A82D342" w14:textId="77777777" w:rsidR="008E7135" w:rsidRDefault="008E7135">
      <w:pPr>
        <w:rPr>
          <w:sz w:val="24"/>
        </w:rPr>
        <w:sectPr w:rsidR="008E7135">
          <w:pgSz w:w="12240" w:h="15840"/>
          <w:pgMar w:top="1560" w:right="1220" w:bottom="1020" w:left="1220" w:header="721" w:footer="757" w:gutter="0"/>
          <w:cols w:space="720"/>
        </w:sectPr>
      </w:pPr>
    </w:p>
    <w:p w14:paraId="67EF694F" w14:textId="77777777" w:rsidR="008E7135" w:rsidRDefault="008E7135">
      <w:pPr>
        <w:pStyle w:val="BodyText"/>
        <w:spacing w:before="3"/>
        <w:ind w:left="0" w:firstLine="0"/>
        <w:rPr>
          <w:b/>
          <w:i/>
          <w:sz w:val="10"/>
        </w:rPr>
      </w:pPr>
    </w:p>
    <w:p w14:paraId="66A7EFD6" w14:textId="77777777" w:rsidR="008E7135" w:rsidRDefault="000E03DC">
      <w:pPr>
        <w:pStyle w:val="Heading1"/>
        <w:spacing w:before="100"/>
        <w:ind w:left="220" w:firstLine="0"/>
        <w:rPr>
          <w:u w:val="none"/>
        </w:rPr>
      </w:pPr>
      <w:r>
        <w:rPr>
          <w:u w:val="none"/>
        </w:rPr>
        <w:t>Addendum A</w:t>
      </w:r>
    </w:p>
    <w:p w14:paraId="53A8D369" w14:textId="77777777" w:rsidR="008E7135" w:rsidRDefault="000E03DC">
      <w:pPr>
        <w:pStyle w:val="BodyText"/>
        <w:spacing w:before="1"/>
        <w:ind w:left="220" w:firstLine="0"/>
      </w:pPr>
      <w:r>
        <w:t>Common Antibiotics – Oral Dosing in PD for Exit-Site and Tunnel Infections</w:t>
      </w:r>
    </w:p>
    <w:p w14:paraId="0EC347DA" w14:textId="77777777" w:rsidR="008E7135" w:rsidRDefault="008E7135">
      <w:pPr>
        <w:pStyle w:val="BodyText"/>
        <w:spacing w:before="10" w:after="1"/>
        <w:ind w:left="0" w:firstLine="0"/>
        <w:rPr>
          <w:sz w:val="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8E7135" w14:paraId="198FBA13" w14:textId="77777777">
        <w:trPr>
          <w:trHeight w:val="292"/>
        </w:trPr>
        <w:tc>
          <w:tcPr>
            <w:tcW w:w="4788" w:type="dxa"/>
          </w:tcPr>
          <w:p w14:paraId="74A82E77" w14:textId="77777777" w:rsidR="008E7135" w:rsidRDefault="000E03DC">
            <w:pPr>
              <w:pStyle w:val="TableParagraph"/>
              <w:spacing w:line="272" w:lineRule="exact"/>
              <w:rPr>
                <w:sz w:val="24"/>
              </w:rPr>
            </w:pPr>
            <w:r>
              <w:rPr>
                <w:sz w:val="24"/>
              </w:rPr>
              <w:t>Amoxicillin</w:t>
            </w:r>
          </w:p>
        </w:tc>
        <w:tc>
          <w:tcPr>
            <w:tcW w:w="4788" w:type="dxa"/>
          </w:tcPr>
          <w:p w14:paraId="730B74E0" w14:textId="77777777" w:rsidR="008E7135" w:rsidRDefault="000E03DC">
            <w:pPr>
              <w:pStyle w:val="TableParagraph"/>
              <w:spacing w:line="272" w:lineRule="exact"/>
              <w:rPr>
                <w:sz w:val="24"/>
              </w:rPr>
            </w:pPr>
            <w:r>
              <w:rPr>
                <w:sz w:val="24"/>
              </w:rPr>
              <w:t>250–500 mg PO twice daily</w:t>
            </w:r>
          </w:p>
        </w:tc>
      </w:tr>
      <w:tr w:rsidR="008E7135" w14:paraId="68FC9D8C" w14:textId="77777777">
        <w:trPr>
          <w:trHeight w:val="289"/>
        </w:trPr>
        <w:tc>
          <w:tcPr>
            <w:tcW w:w="4788" w:type="dxa"/>
          </w:tcPr>
          <w:p w14:paraId="39E238C1" w14:textId="77777777" w:rsidR="008E7135" w:rsidRDefault="000E03DC">
            <w:pPr>
              <w:pStyle w:val="TableParagraph"/>
              <w:spacing w:line="270" w:lineRule="exact"/>
              <w:rPr>
                <w:sz w:val="24"/>
              </w:rPr>
            </w:pPr>
            <w:r>
              <w:rPr>
                <w:sz w:val="24"/>
              </w:rPr>
              <w:t>Cephalexin</w:t>
            </w:r>
          </w:p>
        </w:tc>
        <w:tc>
          <w:tcPr>
            <w:tcW w:w="4788" w:type="dxa"/>
          </w:tcPr>
          <w:p w14:paraId="36A81363" w14:textId="77777777" w:rsidR="008E7135" w:rsidRDefault="000E03DC">
            <w:pPr>
              <w:pStyle w:val="TableParagraph"/>
              <w:spacing w:line="270" w:lineRule="exact"/>
              <w:rPr>
                <w:sz w:val="24"/>
              </w:rPr>
            </w:pPr>
            <w:r>
              <w:rPr>
                <w:sz w:val="24"/>
              </w:rPr>
              <w:t>500 mg PO twice to three times daily</w:t>
            </w:r>
          </w:p>
        </w:tc>
      </w:tr>
      <w:tr w:rsidR="008E7135" w14:paraId="558B4FDF" w14:textId="77777777">
        <w:trPr>
          <w:trHeight w:val="292"/>
        </w:trPr>
        <w:tc>
          <w:tcPr>
            <w:tcW w:w="4788" w:type="dxa"/>
          </w:tcPr>
          <w:p w14:paraId="3E34E2DE" w14:textId="77777777" w:rsidR="008E7135" w:rsidRDefault="000E03DC">
            <w:pPr>
              <w:pStyle w:val="TableParagraph"/>
              <w:spacing w:before="1" w:line="271" w:lineRule="exact"/>
              <w:rPr>
                <w:sz w:val="24"/>
              </w:rPr>
            </w:pPr>
            <w:r>
              <w:rPr>
                <w:sz w:val="24"/>
              </w:rPr>
              <w:t>Ciprofloxacin</w:t>
            </w:r>
          </w:p>
        </w:tc>
        <w:tc>
          <w:tcPr>
            <w:tcW w:w="4788" w:type="dxa"/>
          </w:tcPr>
          <w:p w14:paraId="0DF044C7" w14:textId="77777777" w:rsidR="008E7135" w:rsidRDefault="000E03DC">
            <w:pPr>
              <w:pStyle w:val="TableParagraph"/>
              <w:spacing w:before="1" w:line="271" w:lineRule="exact"/>
              <w:rPr>
                <w:sz w:val="24"/>
              </w:rPr>
            </w:pPr>
            <w:r>
              <w:rPr>
                <w:sz w:val="24"/>
              </w:rPr>
              <w:t>250 BID or 500mg PO Daily</w:t>
            </w:r>
          </w:p>
        </w:tc>
      </w:tr>
      <w:tr w:rsidR="008E7135" w14:paraId="6D56B043" w14:textId="77777777">
        <w:trPr>
          <w:trHeight w:val="582"/>
        </w:trPr>
        <w:tc>
          <w:tcPr>
            <w:tcW w:w="4788" w:type="dxa"/>
          </w:tcPr>
          <w:p w14:paraId="5C840616" w14:textId="77777777" w:rsidR="008E7135" w:rsidRDefault="000E03DC">
            <w:pPr>
              <w:pStyle w:val="TableParagraph"/>
              <w:rPr>
                <w:sz w:val="24"/>
              </w:rPr>
            </w:pPr>
            <w:r>
              <w:rPr>
                <w:sz w:val="24"/>
              </w:rPr>
              <w:t>Clarithromycin</w:t>
            </w:r>
          </w:p>
        </w:tc>
        <w:tc>
          <w:tcPr>
            <w:tcW w:w="4788" w:type="dxa"/>
          </w:tcPr>
          <w:p w14:paraId="4FEA5F4B" w14:textId="77777777" w:rsidR="008E7135" w:rsidRDefault="000E03DC">
            <w:pPr>
              <w:pStyle w:val="TableParagraph"/>
              <w:spacing w:before="6" w:line="292" w:lineRule="exact"/>
              <w:ind w:right="448"/>
              <w:rPr>
                <w:sz w:val="24"/>
              </w:rPr>
            </w:pPr>
            <w:r>
              <w:rPr>
                <w:sz w:val="24"/>
              </w:rPr>
              <w:t>500 mg PO loading dose, then 250 mg PO daily</w:t>
            </w:r>
          </w:p>
        </w:tc>
      </w:tr>
      <w:tr w:rsidR="008E7135" w14:paraId="79A3E9C9" w14:textId="77777777">
        <w:trPr>
          <w:trHeight w:val="285"/>
        </w:trPr>
        <w:tc>
          <w:tcPr>
            <w:tcW w:w="4788" w:type="dxa"/>
          </w:tcPr>
          <w:p w14:paraId="31B4E963" w14:textId="77777777" w:rsidR="008E7135" w:rsidRDefault="000E03DC">
            <w:pPr>
              <w:pStyle w:val="TableParagraph"/>
              <w:spacing w:line="265" w:lineRule="exact"/>
              <w:rPr>
                <w:sz w:val="24"/>
              </w:rPr>
            </w:pPr>
            <w:r>
              <w:rPr>
                <w:sz w:val="24"/>
              </w:rPr>
              <w:t>Dicloxacillin</w:t>
            </w:r>
          </w:p>
        </w:tc>
        <w:tc>
          <w:tcPr>
            <w:tcW w:w="4788" w:type="dxa"/>
          </w:tcPr>
          <w:p w14:paraId="046A35F0" w14:textId="77777777" w:rsidR="008E7135" w:rsidRDefault="000E03DC">
            <w:pPr>
              <w:pStyle w:val="TableParagraph"/>
              <w:spacing w:line="265" w:lineRule="exact"/>
              <w:rPr>
                <w:sz w:val="24"/>
              </w:rPr>
            </w:pPr>
            <w:r>
              <w:rPr>
                <w:sz w:val="24"/>
              </w:rPr>
              <w:t>500 mg PO four times daily</w:t>
            </w:r>
          </w:p>
        </w:tc>
      </w:tr>
      <w:tr w:rsidR="008E7135" w14:paraId="292AB0B9" w14:textId="77777777">
        <w:trPr>
          <w:trHeight w:val="292"/>
        </w:trPr>
        <w:tc>
          <w:tcPr>
            <w:tcW w:w="4788" w:type="dxa"/>
          </w:tcPr>
          <w:p w14:paraId="204CCDAA" w14:textId="77777777" w:rsidR="008E7135" w:rsidRDefault="000E03DC">
            <w:pPr>
              <w:pStyle w:val="TableParagraph"/>
              <w:spacing w:line="272" w:lineRule="exact"/>
              <w:rPr>
                <w:sz w:val="24"/>
              </w:rPr>
            </w:pPr>
            <w:r>
              <w:rPr>
                <w:sz w:val="24"/>
              </w:rPr>
              <w:t>Erythromycin</w:t>
            </w:r>
          </w:p>
        </w:tc>
        <w:tc>
          <w:tcPr>
            <w:tcW w:w="4788" w:type="dxa"/>
          </w:tcPr>
          <w:p w14:paraId="3D7AC029" w14:textId="77777777" w:rsidR="008E7135" w:rsidRDefault="000E03DC">
            <w:pPr>
              <w:pStyle w:val="TableParagraph"/>
              <w:spacing w:line="272" w:lineRule="exact"/>
              <w:rPr>
                <w:sz w:val="24"/>
              </w:rPr>
            </w:pPr>
            <w:r>
              <w:rPr>
                <w:sz w:val="24"/>
              </w:rPr>
              <w:t>500 mg PO four times daily</w:t>
            </w:r>
          </w:p>
        </w:tc>
      </w:tr>
      <w:tr w:rsidR="008E7135" w14:paraId="253B3F5B" w14:textId="77777777">
        <w:trPr>
          <w:trHeight w:val="582"/>
        </w:trPr>
        <w:tc>
          <w:tcPr>
            <w:tcW w:w="4788" w:type="dxa"/>
          </w:tcPr>
          <w:p w14:paraId="65CA7C27" w14:textId="77777777" w:rsidR="008E7135" w:rsidRDefault="000E03DC">
            <w:pPr>
              <w:pStyle w:val="TableParagraph"/>
              <w:rPr>
                <w:sz w:val="24"/>
              </w:rPr>
            </w:pPr>
            <w:r>
              <w:rPr>
                <w:sz w:val="24"/>
              </w:rPr>
              <w:t>Fluconazole</w:t>
            </w:r>
          </w:p>
        </w:tc>
        <w:tc>
          <w:tcPr>
            <w:tcW w:w="4788" w:type="dxa"/>
          </w:tcPr>
          <w:p w14:paraId="2409C0EE" w14:textId="77777777" w:rsidR="008E7135" w:rsidRDefault="000E03DC">
            <w:pPr>
              <w:pStyle w:val="TableParagraph"/>
              <w:spacing w:before="8"/>
              <w:ind w:right="210"/>
              <w:rPr>
                <w:sz w:val="24"/>
              </w:rPr>
            </w:pPr>
            <w:r>
              <w:rPr>
                <w:sz w:val="24"/>
              </w:rPr>
              <w:t>200 mg PO loading, then 100 mg PO daily</w:t>
            </w:r>
          </w:p>
        </w:tc>
      </w:tr>
      <w:tr w:rsidR="008E7135" w14:paraId="6B7C0BCB" w14:textId="77777777">
        <w:trPr>
          <w:trHeight w:val="287"/>
        </w:trPr>
        <w:tc>
          <w:tcPr>
            <w:tcW w:w="4788" w:type="dxa"/>
          </w:tcPr>
          <w:p w14:paraId="6CFA582D" w14:textId="77777777" w:rsidR="008E7135" w:rsidRDefault="000E03DC">
            <w:pPr>
              <w:pStyle w:val="TableParagraph"/>
              <w:spacing w:line="267" w:lineRule="exact"/>
              <w:rPr>
                <w:sz w:val="24"/>
              </w:rPr>
            </w:pPr>
            <w:r>
              <w:rPr>
                <w:sz w:val="24"/>
              </w:rPr>
              <w:t>Isoniazid</w:t>
            </w:r>
          </w:p>
        </w:tc>
        <w:tc>
          <w:tcPr>
            <w:tcW w:w="4788" w:type="dxa"/>
          </w:tcPr>
          <w:p w14:paraId="5B15B98C" w14:textId="77777777" w:rsidR="008E7135" w:rsidRDefault="000E03DC">
            <w:pPr>
              <w:pStyle w:val="TableParagraph"/>
              <w:spacing w:line="267" w:lineRule="exact"/>
              <w:rPr>
                <w:sz w:val="24"/>
              </w:rPr>
            </w:pPr>
            <w:r>
              <w:rPr>
                <w:sz w:val="24"/>
              </w:rPr>
              <w:t>200–300 mg PO daily</w:t>
            </w:r>
          </w:p>
        </w:tc>
      </w:tr>
      <w:tr w:rsidR="008E7135" w14:paraId="1614C985" w14:textId="77777777">
        <w:trPr>
          <w:trHeight w:val="582"/>
        </w:trPr>
        <w:tc>
          <w:tcPr>
            <w:tcW w:w="4788" w:type="dxa"/>
          </w:tcPr>
          <w:p w14:paraId="10DD6615" w14:textId="77777777" w:rsidR="008E7135" w:rsidRDefault="000E03DC">
            <w:pPr>
              <w:pStyle w:val="TableParagraph"/>
              <w:rPr>
                <w:sz w:val="24"/>
              </w:rPr>
            </w:pPr>
            <w:r>
              <w:rPr>
                <w:sz w:val="24"/>
              </w:rPr>
              <w:t>Levofloxacin</w:t>
            </w:r>
          </w:p>
        </w:tc>
        <w:tc>
          <w:tcPr>
            <w:tcW w:w="4788" w:type="dxa"/>
          </w:tcPr>
          <w:p w14:paraId="18A1E682" w14:textId="77777777" w:rsidR="008E7135" w:rsidRDefault="000E03DC">
            <w:pPr>
              <w:pStyle w:val="TableParagraph"/>
              <w:spacing w:before="7"/>
              <w:ind w:right="381"/>
              <w:rPr>
                <w:sz w:val="24"/>
              </w:rPr>
            </w:pPr>
            <w:r>
              <w:rPr>
                <w:sz w:val="24"/>
              </w:rPr>
              <w:t>500 mg PO first dose, then 250 mg PO every other day</w:t>
            </w:r>
          </w:p>
        </w:tc>
      </w:tr>
      <w:tr w:rsidR="008E7135" w14:paraId="24571DCA" w14:textId="77777777">
        <w:trPr>
          <w:trHeight w:val="288"/>
        </w:trPr>
        <w:tc>
          <w:tcPr>
            <w:tcW w:w="4788" w:type="dxa"/>
          </w:tcPr>
          <w:p w14:paraId="3683A0F3" w14:textId="77777777" w:rsidR="008E7135" w:rsidRDefault="000E03DC">
            <w:pPr>
              <w:pStyle w:val="TableParagraph"/>
              <w:spacing w:line="268" w:lineRule="exact"/>
              <w:rPr>
                <w:sz w:val="24"/>
              </w:rPr>
            </w:pPr>
            <w:r>
              <w:rPr>
                <w:sz w:val="24"/>
              </w:rPr>
              <w:t>Metronidazole</w:t>
            </w:r>
          </w:p>
        </w:tc>
        <w:tc>
          <w:tcPr>
            <w:tcW w:w="4788" w:type="dxa"/>
          </w:tcPr>
          <w:p w14:paraId="72C25581" w14:textId="77777777" w:rsidR="008E7135" w:rsidRDefault="000E03DC">
            <w:pPr>
              <w:pStyle w:val="TableParagraph"/>
              <w:spacing w:line="268" w:lineRule="exact"/>
              <w:rPr>
                <w:sz w:val="24"/>
              </w:rPr>
            </w:pPr>
            <w:r>
              <w:rPr>
                <w:sz w:val="24"/>
              </w:rPr>
              <w:t>400 mg PO three times daily</w:t>
            </w:r>
          </w:p>
        </w:tc>
      </w:tr>
      <w:tr w:rsidR="008E7135" w14:paraId="4BD27A20" w14:textId="77777777">
        <w:trPr>
          <w:trHeight w:val="290"/>
        </w:trPr>
        <w:tc>
          <w:tcPr>
            <w:tcW w:w="4788" w:type="dxa"/>
          </w:tcPr>
          <w:p w14:paraId="3D1EA5D3" w14:textId="77777777" w:rsidR="008E7135" w:rsidRDefault="000E03DC">
            <w:pPr>
              <w:pStyle w:val="TableParagraph"/>
              <w:spacing w:line="270" w:lineRule="exact"/>
              <w:rPr>
                <w:sz w:val="24"/>
              </w:rPr>
            </w:pPr>
            <w:r>
              <w:rPr>
                <w:sz w:val="24"/>
              </w:rPr>
              <w:t>Nystatin</w:t>
            </w:r>
          </w:p>
        </w:tc>
        <w:tc>
          <w:tcPr>
            <w:tcW w:w="4788" w:type="dxa"/>
          </w:tcPr>
          <w:p w14:paraId="5BCC6884" w14:textId="77777777" w:rsidR="008E7135" w:rsidRDefault="000E03DC">
            <w:pPr>
              <w:pStyle w:val="TableParagraph"/>
              <w:spacing w:line="270" w:lineRule="exact"/>
              <w:rPr>
                <w:sz w:val="24"/>
              </w:rPr>
            </w:pPr>
            <w:r>
              <w:rPr>
                <w:sz w:val="24"/>
              </w:rPr>
              <w:t>500,000 units 4 times daily</w:t>
            </w:r>
          </w:p>
        </w:tc>
      </w:tr>
      <w:tr w:rsidR="008E7135" w14:paraId="393D30C5" w14:textId="77777777">
        <w:trPr>
          <w:trHeight w:val="292"/>
        </w:trPr>
        <w:tc>
          <w:tcPr>
            <w:tcW w:w="4788" w:type="dxa"/>
          </w:tcPr>
          <w:p w14:paraId="64A40639" w14:textId="77777777" w:rsidR="008E7135" w:rsidRDefault="000E03DC">
            <w:pPr>
              <w:pStyle w:val="TableParagraph"/>
              <w:spacing w:before="1" w:line="271" w:lineRule="exact"/>
              <w:rPr>
                <w:sz w:val="24"/>
              </w:rPr>
            </w:pPr>
            <w:r>
              <w:rPr>
                <w:sz w:val="24"/>
              </w:rPr>
              <w:t>Trimethoprim/sulfamethoxazole</w:t>
            </w:r>
          </w:p>
        </w:tc>
        <w:tc>
          <w:tcPr>
            <w:tcW w:w="4788" w:type="dxa"/>
          </w:tcPr>
          <w:p w14:paraId="038FA86E" w14:textId="77777777" w:rsidR="008E7135" w:rsidRDefault="000E03DC">
            <w:pPr>
              <w:pStyle w:val="TableParagraph"/>
              <w:spacing w:before="1" w:line="271" w:lineRule="exact"/>
              <w:rPr>
                <w:sz w:val="24"/>
              </w:rPr>
            </w:pPr>
            <w:r>
              <w:rPr>
                <w:sz w:val="24"/>
              </w:rPr>
              <w:t>80/400 mg PO daily</w:t>
            </w:r>
          </w:p>
        </w:tc>
      </w:tr>
    </w:tbl>
    <w:p w14:paraId="7B84C0DE" w14:textId="77777777" w:rsidR="008E7135" w:rsidRDefault="008E7135">
      <w:pPr>
        <w:pStyle w:val="BodyText"/>
        <w:ind w:left="0" w:firstLine="0"/>
        <w:rPr>
          <w:sz w:val="28"/>
        </w:rPr>
      </w:pPr>
    </w:p>
    <w:p w14:paraId="2EE7F38B" w14:textId="77777777" w:rsidR="008E7135" w:rsidRDefault="000E03DC">
      <w:pPr>
        <w:pStyle w:val="Heading1"/>
        <w:spacing w:before="241"/>
        <w:ind w:left="220" w:firstLine="0"/>
        <w:rPr>
          <w:u w:val="none"/>
        </w:rPr>
      </w:pPr>
      <w:r>
        <w:rPr>
          <w:u w:val="none"/>
        </w:rPr>
        <w:t>References:</w:t>
      </w:r>
    </w:p>
    <w:p w14:paraId="1376EEBF" w14:textId="77777777" w:rsidR="008E7135" w:rsidRDefault="000E03DC">
      <w:pPr>
        <w:pStyle w:val="BodyText"/>
        <w:spacing w:before="1"/>
        <w:ind w:left="220" w:right="999" w:firstLine="0"/>
      </w:pPr>
      <w:r>
        <w:t>Peritoneal Dialysis International, Vol. 37, pp 141-154, “ISPD Catheter- Related Infection Recommendations: 2017 Update.”</w:t>
      </w:r>
    </w:p>
    <w:sectPr w:rsidR="008E7135">
      <w:pgSz w:w="12240" w:h="15840"/>
      <w:pgMar w:top="1560" w:right="1220" w:bottom="1020" w:left="1220" w:header="721" w:footer="7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F7DEB" w14:textId="77777777" w:rsidR="002F77CC" w:rsidRDefault="002F77CC">
      <w:r>
        <w:separator/>
      </w:r>
    </w:p>
  </w:endnote>
  <w:endnote w:type="continuationSeparator" w:id="0">
    <w:p w14:paraId="6FE987F6" w14:textId="77777777" w:rsidR="002F77CC" w:rsidRDefault="002F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E2F6C" w14:textId="77777777" w:rsidR="008E7135" w:rsidRDefault="0018359C">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77ABEDEE" wp14:editId="19D3B62E">
              <wp:simplePos x="0" y="0"/>
              <wp:positionH relativeFrom="page">
                <wp:posOffset>901700</wp:posOffset>
              </wp:positionH>
              <wp:positionV relativeFrom="page">
                <wp:posOffset>9397365</wp:posOffset>
              </wp:positionV>
              <wp:extent cx="3683000" cy="3378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C6B07" w14:textId="77777777" w:rsidR="008E7135" w:rsidRDefault="000E03DC">
                          <w:pPr>
                            <w:tabs>
                              <w:tab w:val="left" w:pos="5779"/>
                            </w:tabs>
                            <w:spacing w:before="20"/>
                            <w:ind w:left="20"/>
                            <w:rPr>
                              <w:b/>
                              <w:sz w:val="24"/>
                            </w:rPr>
                          </w:pPr>
                          <w:r>
                            <w:rPr>
                              <w:b/>
                              <w:sz w:val="24"/>
                            </w:rPr>
                            <w:t>Patient</w:t>
                          </w:r>
                          <w:r>
                            <w:rPr>
                              <w:b/>
                              <w:spacing w:val="-5"/>
                              <w:sz w:val="24"/>
                            </w:rPr>
                            <w:t xml:space="preserve"> </w:t>
                          </w:r>
                          <w:r>
                            <w:rPr>
                              <w:b/>
                              <w:sz w:val="24"/>
                            </w:rPr>
                            <w:t>Name</w:t>
                          </w:r>
                          <w:r>
                            <w:rPr>
                              <w:b/>
                              <w:sz w:val="24"/>
                              <w:u w:val="single"/>
                            </w:rPr>
                            <w:t xml:space="preserve"> </w:t>
                          </w:r>
                          <w:r>
                            <w:rPr>
                              <w:b/>
                              <w:sz w:val="24"/>
                              <w:u w:val="single"/>
                            </w:rPr>
                            <w:tab/>
                          </w:r>
                        </w:p>
                        <w:p w14:paraId="14C2BA38" w14:textId="38303D84" w:rsidR="008E7135" w:rsidRDefault="000E03DC">
                          <w:pPr>
                            <w:spacing w:before="4"/>
                            <w:ind w:left="20"/>
                            <w:rPr>
                              <w:sz w:val="16"/>
                            </w:rPr>
                          </w:pPr>
                          <w:r>
                            <w:rPr>
                              <w:sz w:val="16"/>
                            </w:rPr>
                            <w:t xml:space="preserve">MEC </w:t>
                          </w:r>
                          <w:r w:rsidR="00A6063B">
                            <w:rPr>
                              <w:sz w:val="16"/>
                            </w:rPr>
                            <w:t>reviewed 1.14.2021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BEDEE" id="_x0000_t202" coordsize="21600,21600" o:spt="202" path="m,l,21600r21600,l21600,xe">
              <v:stroke joinstyle="miter"/>
              <v:path gradientshapeok="t" o:connecttype="rect"/>
            </v:shapetype>
            <v:shape id="Text Box 2" o:spid="_x0000_s1027" type="#_x0000_t202" style="position:absolute;margin-left:71pt;margin-top:739.95pt;width:290pt;height:26.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" filled="f" stroked="f">
              <v:textbox inset="0,0,0,0">
                <w:txbxContent>
                  <w:p w14:paraId="1D9C6B07" w14:textId="77777777" w:rsidR="008E7135" w:rsidRDefault="000E03DC">
                    <w:pPr>
                      <w:tabs>
                        <w:tab w:val="left" w:pos="5779"/>
                      </w:tabs>
                      <w:spacing w:before="20"/>
                      <w:ind w:left="20"/>
                      <w:rPr>
                        <w:b/>
                        <w:sz w:val="24"/>
                      </w:rPr>
                    </w:pPr>
                    <w:r>
                      <w:rPr>
                        <w:b/>
                        <w:sz w:val="24"/>
                      </w:rPr>
                      <w:t>Patient</w:t>
                    </w:r>
                    <w:r>
                      <w:rPr>
                        <w:b/>
                        <w:spacing w:val="-5"/>
                        <w:sz w:val="24"/>
                      </w:rPr>
                      <w:t xml:space="preserve"> </w:t>
                    </w:r>
                    <w:r>
                      <w:rPr>
                        <w:b/>
                        <w:sz w:val="24"/>
                      </w:rPr>
                      <w:t>Name</w:t>
                    </w:r>
                    <w:r>
                      <w:rPr>
                        <w:b/>
                        <w:sz w:val="24"/>
                        <w:u w:val="single"/>
                      </w:rPr>
                      <w:t xml:space="preserve"> </w:t>
                    </w:r>
                    <w:r>
                      <w:rPr>
                        <w:b/>
                        <w:sz w:val="24"/>
                        <w:u w:val="single"/>
                      </w:rPr>
                      <w:tab/>
                    </w:r>
                  </w:p>
                  <w:p w14:paraId="14C2BA38" w14:textId="38303D84" w:rsidR="008E7135" w:rsidRDefault="000E03DC">
                    <w:pPr>
                      <w:spacing w:before="4"/>
                      <w:ind w:left="20"/>
                      <w:rPr>
                        <w:sz w:val="16"/>
                      </w:rPr>
                    </w:pPr>
                    <w:r>
                      <w:rPr>
                        <w:sz w:val="16"/>
                      </w:rPr>
                      <w:t xml:space="preserve">MEC </w:t>
                    </w:r>
                    <w:r w:rsidR="00A6063B">
                      <w:rPr>
                        <w:sz w:val="16"/>
                      </w:rPr>
                      <w:t>reviewed 1.14.2021</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6A00B9C8" wp14:editId="38E41AE7">
              <wp:simplePos x="0" y="0"/>
              <wp:positionH relativeFrom="page">
                <wp:posOffset>5290820</wp:posOffset>
              </wp:positionH>
              <wp:positionV relativeFrom="page">
                <wp:posOffset>9397365</wp:posOffset>
              </wp:positionV>
              <wp:extent cx="1526540" cy="3378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D3F1C" w14:textId="77777777" w:rsidR="008E7135" w:rsidRDefault="000E03DC">
                          <w:pPr>
                            <w:tabs>
                              <w:tab w:val="left" w:pos="2323"/>
                            </w:tabs>
                            <w:spacing w:before="20"/>
                            <w:ind w:left="20"/>
                            <w:rPr>
                              <w:b/>
                              <w:sz w:val="24"/>
                            </w:rPr>
                          </w:pPr>
                          <w:r>
                            <w:rPr>
                              <w:b/>
                              <w:sz w:val="24"/>
                            </w:rPr>
                            <w:t>NKC#</w:t>
                          </w:r>
                          <w:r>
                            <w:rPr>
                              <w:b/>
                              <w:sz w:val="24"/>
                              <w:u w:val="single"/>
                            </w:rPr>
                            <w:t xml:space="preserve"> </w:t>
                          </w:r>
                          <w:r>
                            <w:rPr>
                              <w:b/>
                              <w:sz w:val="24"/>
                              <w:u w:val="single"/>
                            </w:rPr>
                            <w:tab/>
                          </w:r>
                        </w:p>
                        <w:p w14:paraId="448AF84D" w14:textId="77777777" w:rsidR="008E7135" w:rsidRDefault="000E03DC">
                          <w:pPr>
                            <w:spacing w:before="4"/>
                            <w:ind w:left="1171"/>
                            <w:rPr>
                              <w:b/>
                              <w:sz w:val="16"/>
                            </w:rPr>
                          </w:pPr>
                          <w:r>
                            <w:rPr>
                              <w:sz w:val="16"/>
                            </w:rPr>
                            <w:t xml:space="preserve">Page </w:t>
                          </w:r>
                          <w:r>
                            <w:fldChar w:fldCharType="begin"/>
                          </w:r>
                          <w:r>
                            <w:rPr>
                              <w:b/>
                              <w:sz w:val="16"/>
                            </w:rPr>
                            <w:instrText xml:space="preserve"> PAGE </w:instrText>
                          </w:r>
                          <w:r>
                            <w:fldChar w:fldCharType="separate"/>
                          </w:r>
                          <w:r w:rsidR="002A1532">
                            <w:rPr>
                              <w:b/>
                              <w:noProof/>
                              <w:sz w:val="16"/>
                            </w:rPr>
                            <w:t>3</w:t>
                          </w:r>
                          <w:r>
                            <w:fldChar w:fldCharType="end"/>
                          </w:r>
                          <w:r>
                            <w:rPr>
                              <w:b/>
                              <w:sz w:val="16"/>
                            </w:rPr>
                            <w:t xml:space="preserve"> </w:t>
                          </w:r>
                          <w:r>
                            <w:rPr>
                              <w:sz w:val="16"/>
                            </w:rPr>
                            <w:t xml:space="preserve">of </w:t>
                          </w:r>
                          <w:r>
                            <w:rPr>
                              <w:b/>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0B9C8" id="Text Box 1" o:spid="_x0000_s1028" type="#_x0000_t202" style="position:absolute;margin-left:416.6pt;margin-top:739.95pt;width:120.2pt;height:26.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" filled="f" stroked="f">
              <v:textbox inset="0,0,0,0">
                <w:txbxContent>
                  <w:p w14:paraId="6D9D3F1C" w14:textId="77777777" w:rsidR="008E7135" w:rsidRDefault="000E03DC">
                    <w:pPr>
                      <w:tabs>
                        <w:tab w:val="left" w:pos="2323"/>
                      </w:tabs>
                      <w:spacing w:before="20"/>
                      <w:ind w:left="20"/>
                      <w:rPr>
                        <w:b/>
                        <w:sz w:val="24"/>
                      </w:rPr>
                    </w:pPr>
                    <w:r>
                      <w:rPr>
                        <w:b/>
                        <w:sz w:val="24"/>
                      </w:rPr>
                      <w:t>NKC#</w:t>
                    </w:r>
                    <w:r>
                      <w:rPr>
                        <w:b/>
                        <w:sz w:val="24"/>
                        <w:u w:val="single"/>
                      </w:rPr>
                      <w:t xml:space="preserve"> </w:t>
                    </w:r>
                    <w:r>
                      <w:rPr>
                        <w:b/>
                        <w:sz w:val="24"/>
                        <w:u w:val="single"/>
                      </w:rPr>
                      <w:tab/>
                    </w:r>
                  </w:p>
                  <w:p w14:paraId="448AF84D" w14:textId="77777777" w:rsidR="008E7135" w:rsidRDefault="000E03DC">
                    <w:pPr>
                      <w:spacing w:before="4"/>
                      <w:ind w:left="1171"/>
                      <w:rPr>
                        <w:b/>
                        <w:sz w:val="16"/>
                      </w:rPr>
                    </w:pPr>
                    <w:r>
                      <w:rPr>
                        <w:sz w:val="16"/>
                      </w:rPr>
                      <w:t xml:space="preserve">Page </w:t>
                    </w:r>
                    <w:r>
                      <w:fldChar w:fldCharType="begin"/>
                    </w:r>
                    <w:r>
                      <w:rPr>
                        <w:b/>
                        <w:sz w:val="16"/>
                      </w:rPr>
                      <w:instrText xml:space="preserve"> PAGE </w:instrText>
                    </w:r>
                    <w:r>
                      <w:fldChar w:fldCharType="separate"/>
                    </w:r>
                    <w:r w:rsidR="002A1532">
                      <w:rPr>
                        <w:b/>
                        <w:noProof/>
                        <w:sz w:val="16"/>
                      </w:rPr>
                      <w:t>3</w:t>
                    </w:r>
                    <w:r>
                      <w:fldChar w:fldCharType="end"/>
                    </w:r>
                    <w:r>
                      <w:rPr>
                        <w:b/>
                        <w:sz w:val="16"/>
                      </w:rPr>
                      <w:t xml:space="preserve"> </w:t>
                    </w:r>
                    <w:r>
                      <w:rPr>
                        <w:sz w:val="16"/>
                      </w:rPr>
                      <w:t xml:space="preserve">of </w:t>
                    </w:r>
                    <w:r>
                      <w:rPr>
                        <w:b/>
                        <w:sz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A2F79" w14:textId="77777777" w:rsidR="002F77CC" w:rsidRDefault="002F77CC">
      <w:r>
        <w:separator/>
      </w:r>
    </w:p>
  </w:footnote>
  <w:footnote w:type="continuationSeparator" w:id="0">
    <w:p w14:paraId="734D1320" w14:textId="77777777" w:rsidR="002F77CC" w:rsidRDefault="002F7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E8A3C" w14:textId="77777777" w:rsidR="008E7135" w:rsidRDefault="0018359C">
    <w:pPr>
      <w:pStyle w:val="BodyText"/>
      <w:spacing w:line="14" w:lineRule="auto"/>
      <w:ind w:left="0" w:firstLine="0"/>
      <w:rPr>
        <w:sz w:val="20"/>
      </w:rPr>
    </w:pPr>
    <w:r>
      <w:rPr>
        <w:noProof/>
      </w:rPr>
      <mc:AlternateContent>
        <mc:Choice Requires="wps">
          <w:drawing>
            <wp:anchor distT="0" distB="0" distL="114300" distR="114300" simplePos="0" relativeHeight="251654656" behindDoc="1" locked="0" layoutInCell="1" allowOverlap="1" wp14:anchorId="2F13E38B" wp14:editId="290D20B1">
              <wp:simplePos x="0" y="0"/>
              <wp:positionH relativeFrom="page">
                <wp:posOffset>901700</wp:posOffset>
              </wp:positionH>
              <wp:positionV relativeFrom="page">
                <wp:posOffset>445135</wp:posOffset>
              </wp:positionV>
              <wp:extent cx="4874260" cy="3562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2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8E351" w14:textId="77777777" w:rsidR="008E7135" w:rsidRDefault="000E03DC">
                          <w:pPr>
                            <w:spacing w:before="19"/>
                            <w:ind w:left="20"/>
                            <w:rPr>
                              <w:b/>
                              <w:sz w:val="20"/>
                            </w:rPr>
                          </w:pPr>
                          <w:r>
                            <w:rPr>
                              <w:b/>
                              <w:sz w:val="20"/>
                            </w:rPr>
                            <w:t>Northwest Kidney Centers</w:t>
                          </w:r>
                        </w:p>
                        <w:p w14:paraId="7E655444" w14:textId="77777777" w:rsidR="008E7135" w:rsidRDefault="000E03DC">
                          <w:pPr>
                            <w:spacing w:before="35"/>
                            <w:ind w:left="20"/>
                            <w:rPr>
                              <w:sz w:val="20"/>
                            </w:rPr>
                          </w:pPr>
                          <w:r>
                            <w:rPr>
                              <w:sz w:val="20"/>
                            </w:rPr>
                            <w:t>Standing Orders for the Treatment of Peritoneal Catheter Exit Site Infection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3E38B" id="_x0000_t202" coordsize="21600,21600" o:spt="202" path="m,l,21600r21600,l21600,xe">
              <v:stroke joinstyle="miter"/>
              <v:path gradientshapeok="t" o:connecttype="rect"/>
            </v:shapetype>
            <v:shape id="Text Box 3" o:spid="_x0000_s1026" type="#_x0000_t202" style="position:absolute;margin-left:71pt;margin-top:35.05pt;width:383.8pt;height:28.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" filled="f" stroked="f">
              <v:textbox inset="0,0,0,0">
                <w:txbxContent>
                  <w:p w14:paraId="21E8E351" w14:textId="77777777" w:rsidR="008E7135" w:rsidRDefault="000E03DC">
                    <w:pPr>
                      <w:spacing w:before="19"/>
                      <w:ind w:left="20"/>
                      <w:rPr>
                        <w:b/>
                        <w:sz w:val="20"/>
                      </w:rPr>
                    </w:pPr>
                    <w:r>
                      <w:rPr>
                        <w:b/>
                        <w:sz w:val="20"/>
                      </w:rPr>
                      <w:t>Northwest Kidney Centers</w:t>
                    </w:r>
                  </w:p>
                  <w:p w14:paraId="7E655444" w14:textId="77777777" w:rsidR="008E7135" w:rsidRDefault="000E03DC">
                    <w:pPr>
                      <w:spacing w:before="35"/>
                      <w:ind w:left="20"/>
                      <w:rPr>
                        <w:sz w:val="20"/>
                      </w:rPr>
                    </w:pPr>
                    <w:r>
                      <w:rPr>
                        <w:sz w:val="20"/>
                      </w:rPr>
                      <w:t>Standing Orders for the Treatment of Peritoneal Catheter Exit Site Infection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E23FB"/>
    <w:multiLevelType w:val="hybridMultilevel"/>
    <w:tmpl w:val="FE7CA9EC"/>
    <w:lvl w:ilvl="0" w:tplc="65F269F0">
      <w:start w:val="1"/>
      <w:numFmt w:val="decimal"/>
      <w:lvlText w:val="%1."/>
      <w:lvlJc w:val="left"/>
      <w:pPr>
        <w:ind w:left="580" w:hanging="360"/>
        <w:jc w:val="left"/>
      </w:pPr>
      <w:rPr>
        <w:rFonts w:ascii="Verdana" w:eastAsia="Verdana" w:hAnsi="Verdana" w:cs="Verdana" w:hint="default"/>
        <w:b/>
        <w:bCs/>
        <w:spacing w:val="-1"/>
        <w:w w:val="99"/>
        <w:sz w:val="24"/>
        <w:szCs w:val="24"/>
        <w:lang w:val="en-US" w:eastAsia="en-US" w:bidi="ar-SA"/>
      </w:rPr>
    </w:lvl>
    <w:lvl w:ilvl="1" w:tplc="9AEAA768">
      <w:start w:val="1"/>
      <w:numFmt w:val="lowerLetter"/>
      <w:lvlText w:val="%2."/>
      <w:lvlJc w:val="left"/>
      <w:pPr>
        <w:ind w:left="1300" w:hanging="360"/>
        <w:jc w:val="left"/>
      </w:pPr>
      <w:rPr>
        <w:rFonts w:ascii="Verdana" w:eastAsia="Verdana" w:hAnsi="Verdana" w:cs="Verdana" w:hint="default"/>
        <w:spacing w:val="-1"/>
        <w:w w:val="100"/>
        <w:sz w:val="24"/>
        <w:szCs w:val="24"/>
        <w:lang w:val="en-US" w:eastAsia="en-US" w:bidi="ar-SA"/>
      </w:rPr>
    </w:lvl>
    <w:lvl w:ilvl="2" w:tplc="C5D407A2">
      <w:start w:val="1"/>
      <w:numFmt w:val="lowerRoman"/>
      <w:lvlText w:val="%3."/>
      <w:lvlJc w:val="left"/>
      <w:pPr>
        <w:ind w:left="2020" w:hanging="334"/>
        <w:jc w:val="right"/>
      </w:pPr>
      <w:rPr>
        <w:rFonts w:ascii="Verdana" w:eastAsia="Verdana" w:hAnsi="Verdana" w:cs="Verdana" w:hint="default"/>
        <w:spacing w:val="-1"/>
        <w:w w:val="99"/>
        <w:sz w:val="24"/>
        <w:szCs w:val="24"/>
        <w:lang w:val="en-US" w:eastAsia="en-US" w:bidi="ar-SA"/>
      </w:rPr>
    </w:lvl>
    <w:lvl w:ilvl="3" w:tplc="1396BD32">
      <w:start w:val="1"/>
      <w:numFmt w:val="decimal"/>
      <w:lvlText w:val="%4."/>
      <w:lvlJc w:val="left"/>
      <w:pPr>
        <w:ind w:left="2740" w:hanging="360"/>
        <w:jc w:val="left"/>
      </w:pPr>
      <w:rPr>
        <w:rFonts w:ascii="Verdana" w:eastAsia="Verdana" w:hAnsi="Verdana" w:cs="Verdana" w:hint="default"/>
        <w:spacing w:val="0"/>
        <w:w w:val="100"/>
        <w:sz w:val="24"/>
        <w:szCs w:val="24"/>
        <w:lang w:val="en-US" w:eastAsia="en-US" w:bidi="ar-SA"/>
      </w:rPr>
    </w:lvl>
    <w:lvl w:ilvl="4" w:tplc="AABC99BE">
      <w:numFmt w:val="bullet"/>
      <w:lvlText w:val="•"/>
      <w:lvlJc w:val="left"/>
      <w:pPr>
        <w:ind w:left="3748" w:hanging="360"/>
      </w:pPr>
      <w:rPr>
        <w:rFonts w:hint="default"/>
        <w:lang w:val="en-US" w:eastAsia="en-US" w:bidi="ar-SA"/>
      </w:rPr>
    </w:lvl>
    <w:lvl w:ilvl="5" w:tplc="911C6650">
      <w:numFmt w:val="bullet"/>
      <w:lvlText w:val="•"/>
      <w:lvlJc w:val="left"/>
      <w:pPr>
        <w:ind w:left="4757" w:hanging="360"/>
      </w:pPr>
      <w:rPr>
        <w:rFonts w:hint="default"/>
        <w:lang w:val="en-US" w:eastAsia="en-US" w:bidi="ar-SA"/>
      </w:rPr>
    </w:lvl>
    <w:lvl w:ilvl="6" w:tplc="6DCE0C9E">
      <w:numFmt w:val="bullet"/>
      <w:lvlText w:val="•"/>
      <w:lvlJc w:val="left"/>
      <w:pPr>
        <w:ind w:left="5765" w:hanging="360"/>
      </w:pPr>
      <w:rPr>
        <w:rFonts w:hint="default"/>
        <w:lang w:val="en-US" w:eastAsia="en-US" w:bidi="ar-SA"/>
      </w:rPr>
    </w:lvl>
    <w:lvl w:ilvl="7" w:tplc="7108D8AE">
      <w:numFmt w:val="bullet"/>
      <w:lvlText w:val="•"/>
      <w:lvlJc w:val="left"/>
      <w:pPr>
        <w:ind w:left="6774" w:hanging="360"/>
      </w:pPr>
      <w:rPr>
        <w:rFonts w:hint="default"/>
        <w:lang w:val="en-US" w:eastAsia="en-US" w:bidi="ar-SA"/>
      </w:rPr>
    </w:lvl>
    <w:lvl w:ilvl="8" w:tplc="4DEA8D22">
      <w:numFmt w:val="bullet"/>
      <w:lvlText w:val="•"/>
      <w:lvlJc w:val="left"/>
      <w:pPr>
        <w:ind w:left="778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E7135"/>
    <w:rsid w:val="000E03DC"/>
    <w:rsid w:val="0018359C"/>
    <w:rsid w:val="002A1532"/>
    <w:rsid w:val="002E4348"/>
    <w:rsid w:val="002F77CC"/>
    <w:rsid w:val="00354F8C"/>
    <w:rsid w:val="006074ED"/>
    <w:rsid w:val="008E7135"/>
    <w:rsid w:val="00921F69"/>
    <w:rsid w:val="00A04DF6"/>
    <w:rsid w:val="00A6063B"/>
    <w:rsid w:val="00DC5901"/>
    <w:rsid w:val="00E868D2"/>
    <w:rsid w:val="00EA0F64"/>
    <w:rsid w:val="00FC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0471B"/>
  <w15:docId w15:val="{88EAB099-D9C8-48A9-899E-FBBC3BA2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before="120"/>
      <w:ind w:left="580" w:hanging="3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00" w:hanging="360"/>
    </w:pPr>
    <w:rPr>
      <w:sz w:val="24"/>
      <w:szCs w:val="24"/>
    </w:rPr>
  </w:style>
  <w:style w:type="paragraph" w:styleId="Title">
    <w:name w:val="Title"/>
    <w:basedOn w:val="Normal"/>
    <w:uiPriority w:val="1"/>
    <w:qFormat/>
    <w:pPr>
      <w:spacing w:before="236"/>
      <w:ind w:left="219" w:right="538"/>
    </w:pPr>
    <w:rPr>
      <w:sz w:val="48"/>
      <w:szCs w:val="48"/>
    </w:rPr>
  </w:style>
  <w:style w:type="paragraph" w:styleId="ListParagraph">
    <w:name w:val="List Paragraph"/>
    <w:basedOn w:val="Normal"/>
    <w:uiPriority w:val="1"/>
    <w:qFormat/>
    <w:pPr>
      <w:ind w:left="1300" w:hanging="360"/>
    </w:pPr>
  </w:style>
  <w:style w:type="paragraph" w:customStyle="1" w:styleId="TableParagraph">
    <w:name w:val="Table Paragraph"/>
    <w:basedOn w:val="Normal"/>
    <w:uiPriority w:val="1"/>
    <w:qFormat/>
    <w:pPr>
      <w:spacing w:line="290" w:lineRule="exact"/>
      <w:ind w:left="107"/>
    </w:pPr>
  </w:style>
  <w:style w:type="paragraph" w:styleId="BalloonText">
    <w:name w:val="Balloon Text"/>
    <w:basedOn w:val="Normal"/>
    <w:link w:val="BalloonTextChar"/>
    <w:uiPriority w:val="99"/>
    <w:semiHidden/>
    <w:unhideWhenUsed/>
    <w:rsid w:val="002A1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532"/>
    <w:rPr>
      <w:rFonts w:ascii="Segoe UI" w:eastAsia="Verdana" w:hAnsi="Segoe UI" w:cs="Segoe UI"/>
      <w:sz w:val="18"/>
      <w:szCs w:val="18"/>
    </w:rPr>
  </w:style>
  <w:style w:type="paragraph" w:styleId="Header">
    <w:name w:val="header"/>
    <w:basedOn w:val="Normal"/>
    <w:link w:val="HeaderChar"/>
    <w:uiPriority w:val="99"/>
    <w:unhideWhenUsed/>
    <w:rsid w:val="00A6063B"/>
    <w:pPr>
      <w:tabs>
        <w:tab w:val="center" w:pos="4680"/>
        <w:tab w:val="right" w:pos="9360"/>
      </w:tabs>
    </w:pPr>
  </w:style>
  <w:style w:type="character" w:customStyle="1" w:styleId="HeaderChar">
    <w:name w:val="Header Char"/>
    <w:basedOn w:val="DefaultParagraphFont"/>
    <w:link w:val="Header"/>
    <w:uiPriority w:val="99"/>
    <w:rsid w:val="00A6063B"/>
    <w:rPr>
      <w:rFonts w:ascii="Verdana" w:eastAsia="Verdana" w:hAnsi="Verdana" w:cs="Verdana"/>
    </w:rPr>
  </w:style>
  <w:style w:type="paragraph" w:styleId="Footer">
    <w:name w:val="footer"/>
    <w:basedOn w:val="Normal"/>
    <w:link w:val="FooterChar"/>
    <w:uiPriority w:val="99"/>
    <w:unhideWhenUsed/>
    <w:rsid w:val="00A6063B"/>
    <w:pPr>
      <w:tabs>
        <w:tab w:val="center" w:pos="4680"/>
        <w:tab w:val="right" w:pos="9360"/>
      </w:tabs>
    </w:pPr>
  </w:style>
  <w:style w:type="character" w:customStyle="1" w:styleId="FooterChar">
    <w:name w:val="Footer Char"/>
    <w:basedOn w:val="DefaultParagraphFont"/>
    <w:link w:val="Footer"/>
    <w:uiPriority w:val="99"/>
    <w:rsid w:val="00A6063B"/>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Polyclinic</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Barry</dc:creator>
  <cp:lastModifiedBy>Arlene Chen</cp:lastModifiedBy>
  <cp:revision>8</cp:revision>
  <dcterms:created xsi:type="dcterms:W3CDTF">2021-02-05T20:11:00Z</dcterms:created>
  <dcterms:modified xsi:type="dcterms:W3CDTF">2021-02-23T23:38:00Z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Acrobat PDFMaker 11 for Word</vt:lpwstr>
  </property>
  <property fmtid="{D5CDD505-2E9C-101B-9397-08002B2CF9AE}" pid="4" name="LastSaved">
    <vt:filetime>2020-10-26T00:00:00Z</vt:filetime>
  </property>
</Properties>
</file>